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bCs w:val="1"/>
        </w:rPr>
      </w:pPr>
      <w:r w:rsidDel="00000000" w:rsidR="00000000" w:rsidRPr="00000000">
        <w:rPr>
          <w:b w:val="1"/>
          <w:bCs w:val="1"/>
          <w:rtl w:val="0"/>
        </w:rPr>
        <w:t xml:space="preserve">Para Uso Oficial </w:t>
        <w:tab/>
        <w:tab/>
        <w:tab/>
        <w:tab/>
        <w:tab/>
        <w:tab/>
        <w:tab/>
        <w:t xml:space="preserve">               Original en Inglés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Capítulo 4: Garantizar la transparencia efectiva y el acceso a la información como base de la integridad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[Subtítulo]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Ingrese cualquier información logística relacionada con la reunión, como la fecha, la hora y el lugar.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Segundo borrador del Capítulo 4 Garantizar la transparencia efectiva y el acceso a la información como base de la integridad, para comentarios de las contrapartes relevantes de la República Dominicana.</w:t>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t xml:space="preserve">Este nuevo Capítulo 4 recoge el análisis y recomendaciones del anterior Capítulo 6 relacionados con transparencia y acceso a la información pública.</w:t>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t xml:space="preserve">Por favor incluya comentarios o sugerencias directamente en el texto o usando la función de control de cambios para fácil identificación.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Pauline Bertrand – </w:t>
      </w:r>
      <w:hyperlink r:id="rId6">
        <w:r w:rsidDel="00000000" w:rsidR="00000000" w:rsidRPr="00000000">
          <w:rPr>
            <w:color w:val="1155cc"/>
            <w:u w:val="single"/>
            <w:rtl w:val="0"/>
          </w:rPr>
          <w:t xml:space="preserve">pauline.bertrand@oecd.org</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Title"/>
        <w:rPr>
          <w:rFonts w:ascii="Arial Rounded" w:cs="Arial Rounded" w:eastAsia="Arial Rounded" w:hAnsi="Arial Rounded"/>
          <w:b w:val="1"/>
          <w:bCs w:val="1"/>
          <w:color w:val="3c78d8"/>
        </w:rPr>
      </w:pPr>
      <w:bookmarkStart w:colFirst="0" w:colLast="0" w:name="_boxnvv2b3yo" w:id="0"/>
      <w:bookmarkEnd w:id="0"/>
      <w:r w:rsidDel="00000000" w:rsidR="00000000" w:rsidRPr="00000000">
        <w:rPr>
          <w:rFonts w:ascii="Arial Rounded" w:cs="Arial Rounded" w:eastAsia="Arial Rounded" w:hAnsi="Arial Rounded"/>
          <w:b w:val="1"/>
          <w:bCs w:val="1"/>
          <w:color w:val="3c78d8"/>
          <w:rtl w:val="0"/>
        </w:rPr>
        <w:t xml:space="preserve">4. Mejorar la transparencia y el acceso a la información para la integridad pública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720" w:firstLine="0"/>
        <w:rPr>
          <w:color w:val="3c78d8"/>
        </w:rPr>
      </w:pPr>
      <w:r w:rsidDel="00000000" w:rsidR="00000000" w:rsidRPr="00000000">
        <w:rPr>
          <w:color w:val="3c78d8"/>
          <w:rtl w:val="0"/>
        </w:rPr>
        <w:t xml:space="preserve">Este capítulo analiza las medidas implementadas por la República Dominicana para mejorar la transparencia y el acceso a la información como elementos clave para la integridad pública. En primer lugar, el capítulo recomienda medidas para garantizar que el acceso a la información sea supervisado por una autoridad supervisora ​​con independencia funcional y facultades formales para recibir quejas, evaluar denegaciones y vincular a las agencias en sus decisiones. Esto se apoya en el uso obligatorio de un portal único de acceso a la información en toda la administración pública y en estándares internacionalmente reconocidos para la gestión y protección de la información. En segundo lugar, el capítulo explora maneras de fortalecer la transparencia mediante datos abiertos e integración digital, incluyendo la consolidación de las plataformas existentes de transparencia y datos abiertos en un portal nacional unificado, y la mejora de la calidad, la consistencia y la reutilización de la información divulgada proactivamente para fortalecer la rendición de cuentas y la confianza pública.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color w:val="3c78d8"/>
        </w:rPr>
      </w:pPr>
      <w:r w:rsidDel="00000000" w:rsidR="00000000" w:rsidRPr="00000000">
        <w:rPr>
          <w:b w:val="1"/>
          <w:bCs w:val="1"/>
          <w:color w:val="3c78d8"/>
          <w:rtl w:val="0"/>
        </w:rPr>
        <w:t xml:space="preserve">4.1. Introducción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1. Fomentar la transparencia mediante la divulgación proactiva y el acceso a la información es fundamental para la integridad pública. La transparencia incrementa los costos de ocultación y fraude asociados a las prácticas corruptas y fortalece la rendición de cuentas en la toma de decisiones públicas. Al facilitar el acceso a información relevante, la transparencia permite a los ciudadanos comprender mejor el gasto público, los procesos de toma de decisiones y los resultados de las políticas, así como identificar posibles irregularidades o alertar. Desde una perspectiva conductual, la transparencia también puede disuadir comportamientos poco éticos, ya que la percepción de que las acciones son visibles y están sujetas a escrutinio genera un efecto de rendición de cuentas que dificulta la justificación de conductas poco éticas (OCDE, 2018 [1]; OCDE, 2020 [2]).</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2. En este contexto, la transparencia desempeña un papel fundamental para fomentar la confianza en los procesos e instituciones gubernamentales. Si bien, en promedio, alrededor de dos tercios de los encuestados en la Encuesta de Confianza de la OCDE de 2024 manifestaron satisfacción con la disponibilidad de información sobre los servicios administrativos, el suministro de información adicional se asoció con una mayor probabilidad de manifestar una confianza alta o moderadamente alta en la función pública (OCDE, 2024 [3]). Además, una mayor transparencia de la información pública se correlaciona positivamente con mayores niveles de confianza en los países donde menos de la mitad de la población expresa confianza en el gobierno o se mantiene neutral (OCDE, 2024 [4]).</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3. El acceso a la información (ATI) abarca la capacidad de las personas para buscar, recibir, difundir y utilizar eficazmente la información (OCDE, 2022 [5]). Incluye mecanismos de divulgación tanto proactivos como reactivos. La divulgación proactiva se refiere a la publicación sistemática de información por parte de las autoridades públicas y se utiliza cada vez más en los países miembros de la OCDE para proporcionar acceso inmediato a la información pública y reducir la necesidad de solicitudes administrativas formales. La divulgación reactiva, en cambio, se refiere al derecho de los ciudadanos a solicitar acceso a información que, de otro modo, no se haría pública.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4. Al igual que con otros componentes de los sistemas de integridad de los países, una normativa clara y sólida ayuda a definir los datos y la información que las instituciones públicas están obligadas a divulgar, lo que permite tanto a los ciudadanos como a los organismos de supervisión exigir cuentas a las autoridades cuando no se cumplen estas obligaciones. La Recomendación de la OCDE sobre Integridad Pública hace especial hincapié en el valor de la participación de las partes interesadas en el desarrollo y la aplicación de políticas públicas. Con este fin, invita a los países a «fomentar la transparencia y la participación de las partes interesadas en todas las etapas del proceso político y del ciclo de políticas para promover la rendición de cuentas y el interés público» (OCDE, 2017 [6]). En concreto, hace un llamamiento a «promover la transparencia y un gobierno abierto, incluyendo garantizar el acceso a la información y a los datos abiertos» (OCDE, 2017 [6]). De igual forma, la Recomendación de la OCDE sobre Gobierno Abierto señala la información como el peldaño fundamental que permite una participación significativa de las partes interesadas y hace hincapié en la divulgación de «datos e información claros, completos, oportunos, fiables y pertinentes del sector público» (OCDE, 2017 [7]).</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5. En las últimas dos décadas, la República Dominicana ha adoptado medidas significativas para fortalecer su marco de transparencia y acceso a la información. La Constitución dominicana establece la transparencia, la rendición de cuentas, el libre acceso a la información pública, la publicidad, la participación ciudadana, la objetividad y la coordinación como principios fundamentales que rigen la Administración Pública. La Ley 200-04 de Acceso Abierto a la Información Pública regula el derecho constitucional de acceso a la información pública, reconocido a todas las personas, incluidas las personas físicas y jurídicas, ciudadanos y no ciudadanos. La Ley y su reglamento incorporan las disposiciones mínimas básicas comunes en los sistemas avanzados, incluyendo una amplia gama de sujetos obligados, procedimientos para solicitar información, plazos legales, exenciones definidas y vías de revisión administrativa y judicial.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6. Este marco se reforzó aún más con el Decreto 486-12, que designó a la Dirección General de Ética e Integridad Gubernamental (DIGEIG) como el organismo encargado de supervisar tanto la política de datos abiertos como el acceso a la información pública. La creación del Portal Único de Solicitud de Acceso a la Información Pública (SAIP), una plataforma digital centralizada a través de la cual los ciudadanos pueden presentar solicitudes de acceso a la información a las instituciones públicas, ha aumentado la accesibilidad del proceso de solicitud y reducido las barreras para los ciudadanos.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7. La República Dominicana también ha impulsado sus agendas de datos abiertos y gobierno abierto. El marco legal exige la divulgación proactiva de datos institucionales relevantes. En particular, la Ley 200-04 incluye una lista de conjuntos de datos de alto valor e información obligatoria que las instituciones públicas deben divulgar. El portal nacional de datos abiertos (https://datos.gob.do) consolida conjuntos de datos legibles por máquina de diversas entidades gubernamentales, promoviendo la reutilización de datos por parte de investigadores, periodistas y la sociedad civil. En la práctica, la República Dominicana divulga proactivamente información relacionada con la integridad, incluyendo versiones consolidadas de todas las leyes primarias, licitaciones públicas anunciadas por el gobierno central y los salarios de los altos funcionarios de todos los ministerios. La Comisión Nacional de Datos Abiertos, órgano de coordinación interinstitucional establecido en el marco de la Política Nacional de Datos Abiertos, apoya la implementación de iniciativas de datos abiertos en toda la administración pública, incluyendo la promoción de la publicación, coordinación y reutilización de datos, aunque actualmente no opera como un organismo estatutario independiente.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8. La participación del país en la Alianza para el Gobierno Abierto (AGA), a través de su portal específico (https://gobiernoabierto.gob.do), ha propiciado la creación conjunta de planes de acción multiactor con compromisos en materia de transparencia, participación ciudadana y gobernanza basada en la tecnología. Este proceso se coordina a través del Foro Multiactor para el Gobierno Abierto de la República Dominicana, un espacio de diálogo permanente que reúne a representantes de instituciones gubernamentales, la sociedad civil, la academia y el sector privado. El país también se unió a la Red Iberoamericana de Transparencia y Acceso a la Información (RTA) y a la Red Iberoamericana de Protección de Datos Personales (RIPD). Recientemente, la República Dominicana inició la elaboración de una Estrategia Nacional para el Espacio Cívico, basada en cinco pilares fundamentales: crear un entorno propicio para la sociedad civil; promover la participación ciudadana; proteger la libertad de reunión, manifestación y los derechos humanos; garantizar el acceso a la información, la libertad de prensa y combatir la desinformación; y fomentar el espacio cívico digital (OCDE, 2025 [8]).</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9. En conjunto, estos avances reflejan un progreso tangible en el fortalecimiento del marco de transparencia de la República Dominicana. Al compararlo con los estándares de la OCDE sobre información pública, el desempeño del país se acerca al promedio de la OCDE tanto en criterios regulatorios como prácticos. En concreto, República Dominicana cumple con el 60% de los criterios relacionados con la regulación y el 56% de los relacionados con la práctica, en comparación con los promedios de la OCDE de 72% y 62%, respectivamente (Figura 4.1).</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Subtitle"/>
        <w:rPr>
          <w:b w:val="1"/>
          <w:bCs w:val="1"/>
          <w:color w:val="3c78d8"/>
          <w:sz w:val="22"/>
          <w:szCs w:val="22"/>
        </w:rPr>
      </w:pPr>
      <w:bookmarkStart w:colFirst="0" w:colLast="0" w:name="_irl2f45hgcg1" w:id="1"/>
      <w:bookmarkEnd w:id="1"/>
      <w:r w:rsidDel="00000000" w:rsidR="00000000" w:rsidRPr="00000000">
        <w:rPr>
          <w:b w:val="1"/>
          <w:bCs w:val="1"/>
          <w:color w:val="3c78d8"/>
          <w:sz w:val="22"/>
          <w:szCs w:val="22"/>
          <w:rtl w:val="0"/>
        </w:rPr>
        <w:t xml:space="preserve">Figura 4.1. Indicador de Integridad Pública de la OCDE para el acceso a la información en República Dominicana (2025) y comparación entre países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drawing>
          <wp:inline distB="114300" distT="114300" distL="114300" distR="114300">
            <wp:extent cx="5943600" cy="3390900"/>
            <wp:effectExtent b="0" l="0" r="0" t="0"/>
            <wp:docPr id="1"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9436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sz w:val="18"/>
          <w:szCs w:val="18"/>
          <w:rtl w:val="0"/>
        </w:rPr>
        <w:t xml:space="preserve">Nota: Este conjunto de indicadores abarca la normativa y las prácticas relacionadas con la transparencia de la información pública. Los criterios provienen de los conjuntos de datos de los Indicadores de Integridad Pública de la OCDE sobre “Marco regulatorio para el acceso a la información, datos abiertos y consulta pública”, “Cobertura de las funciones básicas para implementar el acceso a la información y los datos abiertos”, “Apertura del proceso de toma de decisiones gubernamentales” y “Divulgación proactiva de conjuntos de datos”. Los datos están disponibles para 2025 para los miembros de la OCDE y para 2024 para los no miembros. Los criterios para cada indicador fueron establecidos por el Grupo de Trabajo de la OCDE sobre Integridad Pública y Anticorrupción en el Gobierno (GT-PIAC). Los miembros de la OCDE están representados en azul oscuro; los socios, en azul claro; los promedios regionales, en verde. No hay datos disponibles para Canadá, Dinamarca, Islandia, Israel, Japón, Suiza ni Zambia.</w:t>
      </w:r>
    </w:p>
    <w:p w:rsidR="00000000" w:rsidDel="00000000" w:rsidP="00000000" w:rsidRDefault="00000000" w:rsidRPr="00000000" w14:paraId="0000004B">
      <w:pPr>
        <w:rPr>
          <w:sz w:val="18"/>
          <w:szCs w:val="18"/>
        </w:rPr>
      </w:pPr>
      <w:r w:rsidDel="00000000" w:rsidR="00000000" w:rsidRPr="00000000">
        <w:rPr>
          <w:sz w:val="18"/>
          <w:szCs w:val="18"/>
          <w:rtl w:val="0"/>
        </w:rPr>
        <w:t xml:space="preserve">Fuente: Indicadores de Integridad Pública de la OCDE (2025), </w:t>
      </w:r>
      <w:hyperlink r:id="rId8">
        <w:r w:rsidDel="00000000" w:rsidR="00000000" w:rsidRPr="00000000">
          <w:rPr>
            <w:color w:val="1155cc"/>
            <w:sz w:val="18"/>
            <w:szCs w:val="18"/>
            <w:u w:val="single"/>
            <w:rtl w:val="0"/>
          </w:rPr>
          <w:t xml:space="preserve">https://oecd-public-integrity-indicators.org</w:t>
        </w:r>
      </w:hyperlink>
      <w:r w:rsidDel="00000000" w:rsidR="00000000" w:rsidRPr="00000000">
        <w:rPr>
          <w:sz w:val="18"/>
          <w:szCs w:val="18"/>
          <w:rtl w:val="0"/>
        </w:rPr>
        <w:t xml:space="preser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10. No obstante, aún existe un amplio margen de mejora. Persisten brechas clave, en particular la ausencia de un principio de “apertura por defecto”, la falta de un organismo de supervisión aislado de la interferencia ejecutiva y las limitaciones relacionadas con el acceso gratuito, lo que indica más oportunidades para alinear el marco regulatorio con los estándares de la OCDE sobre transparencia y gobierno abierto (Tabla 4.1).</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Subtitle"/>
        <w:rPr>
          <w:b w:val="1"/>
          <w:bCs w:val="1"/>
          <w:color w:val="3c78d8"/>
          <w:sz w:val="22"/>
          <w:szCs w:val="22"/>
        </w:rPr>
      </w:pPr>
      <w:bookmarkStart w:colFirst="0" w:colLast="0" w:name="_azlifa1gmtp6" w:id="2"/>
      <w:bookmarkEnd w:id="2"/>
      <w:r w:rsidDel="00000000" w:rsidR="00000000" w:rsidRPr="00000000">
        <w:rPr>
          <w:b w:val="1"/>
          <w:bCs w:val="1"/>
          <w:color w:val="3c78d8"/>
          <w:sz w:val="22"/>
          <w:szCs w:val="22"/>
          <w:rtl w:val="0"/>
        </w:rPr>
        <w:t xml:space="preserve">Tabla 4.1. Indicador de Integridad Pública de la OCDE para la información pública en República Dominicana (2024) – Regulación</w:t>
      </w:r>
    </w:p>
    <w:p w:rsidR="00000000" w:rsidDel="00000000" w:rsidP="00000000" w:rsidRDefault="00000000" w:rsidRPr="00000000" w14:paraId="00000050">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0"/>
        <w:gridCol w:w="1485"/>
        <w:gridCol w:w="1410"/>
        <w:gridCol w:w="1455"/>
        <w:tblGridChange w:id="0">
          <w:tblGrid>
            <w:gridCol w:w="5010"/>
            <w:gridCol w:w="1485"/>
            <w:gridCol w:w="1410"/>
            <w:gridCol w:w="1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Criterio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 Dominicana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Promedio OECD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Promedio LAC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El marco regulatorio establece que todas las instituciones públicas y personas privadas que desempeñan funciones públicas son titulares de información pública; y que todos, incluidos los no ciudadanos y las personas jurídicas, tienen derecho a acceder a la información en todas las formas disponibles.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Las únicas restricciones al acceso a la información pública permitidas están enumeradas por ley y están en consonancia con la Convención de Tromso.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Existen plazos legales para la tramitación de las solicitudes de información.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Los titulares de la información están obligados a proporcionar la información en el formato solicitado; los solicitantes no están obligados a justificar sus solicitudes.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 garantiza el derecho a apelar ante un organismo independiente o un tribunal contra la negativa o inactividad de un órgano administrativo.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La información solicitada siempre se proporciona de forma gratuita.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 el marco regulatorio se define una lista de conjuntos de datos e información obligatoria que debe divulgarse.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La legislación primaria especifica que los datos del Gobierno están “abiertos por defecto” (salvo casos específicos definidos en el marco regulatorio).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Las decisiones del organismo público especializado en información pública no pueden ser anuladas por ningún órgano ejecutivo.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58%</w:t>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sz w:val="18"/>
          <w:szCs w:val="18"/>
        </w:rPr>
      </w:pPr>
      <w:r w:rsidDel="00000000" w:rsidR="00000000" w:rsidRPr="00000000">
        <w:rPr>
          <w:sz w:val="18"/>
          <w:szCs w:val="18"/>
          <w:rtl w:val="0"/>
        </w:rPr>
        <w:t xml:space="preserve">Nota: Los criterios provienen de los conjuntos de datos de los Indicadores de Integridad Pública de la OCDE sobre «Marco regulatorio para el acceso a la información, datos abiertos y consulta pública», «Cobertura de las funciones básicas para implementar el acceso a la información y datos abiertos», «Apertura del proceso de toma de decisiones gubernamentales» y «Divulgación proactiva de conjuntos de datos».</w:t>
      </w:r>
    </w:p>
    <w:p w:rsidR="00000000" w:rsidDel="00000000" w:rsidP="00000000" w:rsidRDefault="00000000" w:rsidRPr="00000000" w14:paraId="0000007B">
      <w:pPr>
        <w:rPr>
          <w:sz w:val="18"/>
          <w:szCs w:val="18"/>
        </w:rPr>
      </w:pPr>
      <w:r w:rsidDel="00000000" w:rsidR="00000000" w:rsidRPr="00000000">
        <w:rPr>
          <w:sz w:val="18"/>
          <w:szCs w:val="18"/>
          <w:rtl w:val="0"/>
        </w:rPr>
        <w:t xml:space="preserve">Fuente: Indicadores de Integridad Pública de la OCDE, https://oecd-public-integrity-indicators.org/</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11. También persisten desafíos de implementación. Se ha reportado que ciertas entidades públicas aplican selectivamente las solicitudes de acceso a la información (Freedom House, 2024 [9]; Bertelsmann Stiftung, 2024 [10]). La ausencia de un organismo independiente de supervisión para las apelaciones externas, como se evidencia en la Tabla 4.2, limita la aplicación imparcial de los derechos de acceso a la información, dejando el recurso judicial como la principal solución externa. La plataforma SAIP, si bien representa un paso significativo hacia la centralización de las solicitudes, aún no está integrada de manera uniforme en todas las instituciones públicas, y la información pública sobre su uso y desempeño es limitada. Además, los diversos portales gubernamentales relacionados con la transparencia siguen fragmentados, lo que dificulta que los ciudadanos localicen y utilicen la información de manera eficiente.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Subtitle"/>
        <w:rPr/>
      </w:pPr>
      <w:bookmarkStart w:colFirst="0" w:colLast="0" w:name="_pzoesuivhubr" w:id="3"/>
      <w:bookmarkEnd w:id="3"/>
      <w:r w:rsidDel="00000000" w:rsidR="00000000" w:rsidRPr="00000000">
        <w:rPr>
          <w:b w:val="1"/>
          <w:bCs w:val="1"/>
          <w:color w:val="3c78d8"/>
          <w:sz w:val="22"/>
          <w:szCs w:val="22"/>
          <w:rtl w:val="0"/>
        </w:rPr>
        <w:t xml:space="preserve">Tabla 4.2. Indicador de Integridad Pública de la OCDE para la información pública en la República Dominicana (2024) – Práctica</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70"/>
        <w:gridCol w:w="1500"/>
        <w:gridCol w:w="1500"/>
        <w:gridCol w:w="1290"/>
        <w:tblGridChange w:id="0">
          <w:tblGrid>
            <w:gridCol w:w="5070"/>
            <w:gridCol w:w="1500"/>
            <w:gridCol w:w="1500"/>
            <w:gridCol w:w="129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1">
            <w:pPr>
              <w:rPr>
                <w:b w:val="1"/>
                <w:bCs w:val="1"/>
              </w:rPr>
            </w:pPr>
            <w:r w:rsidDel="00000000" w:rsidR="00000000" w:rsidRPr="00000000">
              <w:rPr>
                <w:b w:val="1"/>
                <w:bCs w:val="1"/>
                <w:rtl w:val="0"/>
              </w:rPr>
              <w:t xml:space="preserve">Criterios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3">
            <w:pPr>
              <w:rPr>
                <w:b w:val="1"/>
                <w:bCs w:val="1"/>
              </w:rPr>
            </w:pPr>
            <w:r w:rsidDel="00000000" w:rsidR="00000000" w:rsidRPr="00000000">
              <w:rPr>
                <w:b w:val="1"/>
                <w:bCs w:val="1"/>
                <w:rtl w:val="0"/>
              </w:rPr>
              <w:t xml:space="preserve">República Dominicana</w:t>
            </w:r>
          </w:p>
        </w:tc>
        <w:tc>
          <w:tcPr>
            <w:tcMar>
              <w:top w:w="100.0" w:type="dxa"/>
              <w:left w:w="100.0" w:type="dxa"/>
              <w:bottom w:w="100.0" w:type="dxa"/>
              <w:right w:w="100.0" w:type="dxa"/>
            </w:tcMar>
            <w:vAlign w:val="top"/>
          </w:tcPr>
          <w:p w:rsidR="00000000" w:rsidDel="00000000" w:rsidP="00000000" w:rsidRDefault="00000000" w:rsidRPr="00000000" w14:paraId="00000084">
            <w:pPr>
              <w:rPr>
                <w:b w:val="1"/>
                <w:bCs w:val="1"/>
              </w:rPr>
            </w:pPr>
            <w:r w:rsidDel="00000000" w:rsidR="00000000" w:rsidRPr="00000000">
              <w:rPr>
                <w:b w:val="1"/>
                <w:bCs w:val="1"/>
                <w:rtl w:val="0"/>
              </w:rPr>
              <w:t xml:space="preserve">Promedio de la OCDE</w:t>
            </w:r>
          </w:p>
        </w:tc>
        <w:tc>
          <w:tcPr>
            <w:tcMar>
              <w:top w:w="100.0" w:type="dxa"/>
              <w:left w:w="100.0" w:type="dxa"/>
              <w:bottom w:w="100.0" w:type="dxa"/>
              <w:right w:w="100.0" w:type="dxa"/>
            </w:tcMar>
            <w:vAlign w:val="top"/>
          </w:tcPr>
          <w:p w:rsidR="00000000" w:rsidDel="00000000" w:rsidP="00000000" w:rsidRDefault="00000000" w:rsidRPr="00000000" w14:paraId="00000085">
            <w:pPr>
              <w:rPr>
                <w:b w:val="1"/>
                <w:bCs w:val="1"/>
              </w:rPr>
            </w:pPr>
            <w:r w:rsidDel="00000000" w:rsidR="00000000" w:rsidRPr="00000000">
              <w:rPr>
                <w:b w:val="1"/>
                <w:bCs w:val="1"/>
                <w:rtl w:val="0"/>
              </w:rPr>
              <w:t xml:space="preserve">Promedio de ALC</w:t>
            </w:r>
          </w:p>
        </w:tc>
      </w:tr>
      <w:tr>
        <w:trPr>
          <w:cantSplit w:val="0"/>
          <w:trHeight w:val="420" w:hRule="atLeast"/>
          <w:tblHeader w:val="0"/>
        </w:trPr>
        <w:tc>
          <w:tcPr>
            <w:gridSpan w:val="4"/>
            <w:shd w:fill="d8d8d8" w:val="clear"/>
            <w:tcMar>
              <w:top w:w="100.0" w:type="dxa"/>
              <w:left w:w="100.0" w:type="dxa"/>
              <w:bottom w:w="100.0" w:type="dxa"/>
              <w:right w:w="100.0" w:type="dxa"/>
            </w:tcMar>
            <w:vAlign w:val="top"/>
          </w:tcPr>
          <w:p w:rsidR="00000000" w:rsidDel="00000000" w:rsidP="00000000" w:rsidRDefault="00000000" w:rsidRPr="00000000" w14:paraId="00000086">
            <w:pPr>
              <w:rPr>
                <w:b w:val="1"/>
                <w:bCs w:val="1"/>
              </w:rPr>
            </w:pPr>
            <w:r w:rsidDel="00000000" w:rsidR="00000000" w:rsidRPr="00000000">
              <w:rPr>
                <w:b w:val="1"/>
                <w:bCs w:val="1"/>
                <w:rtl w:val="0"/>
              </w:rPr>
              <w:t xml:space="preserve">Cobertura de las funciones básicas para implementar el acceso a la información y los datos abiertos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Se establece un organismo supervisor responsable de los asuntos de información pública.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69%</w:t>
            </w:r>
          </w:p>
        </w:tc>
        <w:tc>
          <w:tcP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El consejo de administración o el director del organismo supervisor de la información pública es nombrado por un período fijo y puede ser destituido durante este período solo en casos estrictamente definidos.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w:t>
            </w:r>
          </w:p>
        </w:tc>
        <w:tc>
          <w:tcP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Las apelaciones contra las decisiones del organismo especializado en información pública son decididas por un organismo independiente de todas las partes.</w:t>
            </w:r>
          </w:p>
        </w:tc>
        <w:tc>
          <w:tcP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w:t>
            </w:r>
          </w:p>
        </w:tc>
        <w:tc>
          <w:tcP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Los datos estadísticos sobre solicitudes de acceso a la información y decisiones han sido agregados y publicados por un organismo público relevante durante los últimos tres años.</w:t>
            </w:r>
          </w:p>
        </w:tc>
        <w:tc>
          <w:tcP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53%</w:t>
            </w:r>
          </w:p>
        </w:tc>
        <w:tc>
          <w:tcP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Las inspecciones de cumplimiento fueron realizadas por el organismo supervisor relevante dentro del último año calendario completo.</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b w:val="1"/>
                <w:bCs w:val="1"/>
                <w:color w:val="00ff00"/>
              </w:rPr>
            </w:pPr>
            <w:r w:rsidDel="00000000" w:rsidR="00000000" w:rsidRPr="00000000">
              <w:rPr>
                <w:b w:val="1"/>
                <w:bCs w:val="1"/>
                <w:color w:val="00ff00"/>
                <w:rtl w:val="0"/>
              </w:rPr>
              <w:t xml:space="preserve">O </w:t>
            </w:r>
          </w:p>
        </w:tc>
        <w:tc>
          <w:tcP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44%</w:t>
            </w:r>
          </w:p>
        </w:tc>
        <w:tc>
          <w:tcP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Las sanciones por incumplimiento fueron impuestas por el organismo supervisor relevante dentro del último año calendario completo.</w:t>
            </w:r>
          </w:p>
        </w:tc>
        <w:tc>
          <w:tcP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22%</w:t>
            </w:r>
          </w:p>
        </w:tc>
        <w:tc>
          <w:tcP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42%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Una unidad del gobierno central o un organismo independiente es responsable de la política de datos abiertos.</w:t>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 94%</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83%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Se establece una función de monitoreo para la política de datos abiertos a nivel del gobierno central.</w:t>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84%</w:t>
            </w:r>
          </w:p>
        </w:tc>
        <w:tc>
          <w:tcP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83%</w:t>
            </w:r>
          </w:p>
        </w:tc>
      </w:tr>
      <w:tr>
        <w:trPr>
          <w:cantSplit w:val="0"/>
          <w:trHeight w:val="420" w:hRule="atLeast"/>
          <w:tblHeader w:val="0"/>
        </w:trPr>
        <w:tc>
          <w:tcPr>
            <w:gridSpan w:val="4"/>
            <w:shd w:fill="d8d8d8" w:val="clear"/>
            <w:tcMar>
              <w:top w:w="100.0" w:type="dxa"/>
              <w:left w:w="100.0" w:type="dxa"/>
              <w:bottom w:w="100.0" w:type="dxa"/>
              <w:right w:w="100.0" w:type="dxa"/>
            </w:tcMar>
            <w:vAlign w:val="top"/>
          </w:tcPr>
          <w:p w:rsidR="00000000" w:rsidDel="00000000" w:rsidP="00000000" w:rsidRDefault="00000000" w:rsidRPr="00000000" w14:paraId="000000AD">
            <w:pPr>
              <w:rPr>
                <w:b w:val="1"/>
                <w:bCs w:val="1"/>
              </w:rPr>
            </w:pPr>
            <w:r w:rsidDel="00000000" w:rsidR="00000000" w:rsidRPr="00000000">
              <w:rPr>
                <w:b w:val="1"/>
                <w:bCs w:val="1"/>
                <w:rtl w:val="0"/>
              </w:rPr>
              <w:t xml:space="preserve">Apertura del proceso de toma de decisiones del gobierno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Todas las agendas de las sesiones gubernamentales formales se han puesto a disposición del público en línea antes de la sesión dentro del último año calendario completo.</w:t>
            </w:r>
          </w:p>
        </w:tc>
        <w:tc>
          <w:tcP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Se mantienen registros de todas las decisiones acordadas en las sesiones gubernamentales (minutas).</w:t>
            </w:r>
          </w:p>
        </w:tc>
        <w:tc>
          <w:tcP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75%</w:t>
            </w:r>
          </w:p>
        </w:tc>
        <w:tc>
          <w:tcP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Las agendas de los ministros se ponen a disposición del público en línea, en el sitio web de su respectivo ministerio o se agregan en un sitio web del gobierno, y especifican con quién se reunió el ministro, en qué capacidad y el tema que se discutió durante la reunión.</w:t>
            </w:r>
          </w:p>
        </w:tc>
        <w:tc>
          <w:tcP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w:t>
            </w:r>
          </w:p>
        </w:tc>
        <w:tc>
          <w:tcP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rHeight w:val="420" w:hRule="atLeast"/>
          <w:tblHeader w:val="0"/>
        </w:trPr>
        <w:tc>
          <w:tcPr>
            <w:gridSpan w:val="4"/>
            <w:shd w:fill="d8d8d8"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Divulgación proactiva de conjuntos de datos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versiones consolidadas de todas las leyes primarias están disponibles públicamente.</w:t>
            </w:r>
          </w:p>
        </w:tc>
        <w:tc>
          <w:tcP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91%</w:t>
            </w:r>
          </w:p>
        </w:tc>
        <w:tc>
          <w:tcP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presupuesto estatal del año calendario en curso (si ya se ha aprobado) y el último año calendario completo están disponibles públicamente.</w:t>
            </w:r>
          </w:p>
        </w:tc>
        <w:tc>
          <w:tcP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97%</w:t>
            </w:r>
          </w:p>
        </w:tc>
        <w:tc>
          <w:tcP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resultados de las últimas elecciones nacionales están disponibles públicamente, agrupados en un solo sitio web (es decir, el número de votos emitidos para todos los candidatos en cada circunscripción y los representantes designados).</w:t>
            </w:r>
          </w:p>
        </w:tc>
        <w:tc>
          <w:tcP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c>
          <w:tcP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propuestas legislativas del gobierno enviadas al parlamento están disponibles públicamente.</w:t>
            </w:r>
          </w:p>
        </w:tc>
        <w:tc>
          <w:tcP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97%</w:t>
            </w:r>
          </w:p>
        </w:tc>
        <w:tc>
          <w:tcP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agendas de las sesiones gubernamentales están disponibles públicamente.</w:t>
            </w:r>
          </w:p>
        </w:tc>
        <w:tc>
          <w:tcP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b w:val="1"/>
                <w:bCs w:val="1"/>
                <w:color w:val="ff0000"/>
              </w:rPr>
            </w:pPr>
            <w:r w:rsidDel="00000000" w:rsidR="00000000" w:rsidRPr="00000000">
              <w:rPr>
                <w:b w:val="1"/>
                <w:bCs w:val="1"/>
                <w:color w:val="ff0000"/>
                <w:rtl w:val="0"/>
              </w:rPr>
              <w:t xml:space="preserve">O </w:t>
            </w:r>
          </w:p>
        </w:tc>
        <w:tc>
          <w:tcP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c>
          <w:tcP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agenda de los ministros está disponible públicamente.</w:t>
            </w:r>
          </w:p>
        </w:tc>
        <w:tc>
          <w:tcP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38%</w:t>
            </w:r>
          </w:p>
        </w:tc>
        <w:tc>
          <w:tcP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datos agregados sobre el cabildeo en la toma de decisiones públicas están disponibles públicamente, incluyendo, como mínimo, datos sobre la identidad y el ámbito de acción de los representantes de interés con los que se reunieron los miembros del Gobierno y los miembros del Parlamento.</w:t>
            </w:r>
          </w:p>
        </w:tc>
        <w:tc>
          <w:tcP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w:t>
            </w:r>
          </w:p>
        </w:tc>
        <w:tc>
          <w:tcP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datos agregados sobre las solicitudes de información en cualquier formato están disponibles públicamente, como mínimo, el porcentaje de casos en los que no se concedió el acceso y el tiempo promedio de procesamiento de las solicitudes de acceso a la información pública.</w:t>
            </w:r>
          </w:p>
        </w:tc>
        <w:tc>
          <w:tcP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38%</w:t>
            </w:r>
          </w:p>
        </w:tc>
        <w:tc>
          <w:tcP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licitaciones públicas anunciadas por el gobierno central están disponibles públicamente, agregadas en un solo sitio web.</w:t>
            </w:r>
          </w:p>
        </w:tc>
        <w:tc>
          <w:tcP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97%</w:t>
            </w:r>
          </w:p>
        </w:tc>
        <w:tc>
          <w:tcP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resultados de todas las licitaciones públicas adjudicadas por el gobierno central están disponibles públicamente, agrupadas en un solo sitio web.</w:t>
            </w:r>
          </w:p>
        </w:tc>
        <w:tc>
          <w:tcP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84%</w:t>
            </w:r>
          </w:p>
        </w:tc>
        <w:tc>
          <w:tcP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registro mercantil está disponible públicamente.</w:t>
            </w:r>
          </w:p>
        </w:tc>
        <w:tc>
          <w:tcP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88%</w:t>
            </w:r>
          </w:p>
        </w:tc>
        <w:tc>
          <w:tcP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registro de la propiedad está disponible públicamente.</w:t>
            </w:r>
          </w:p>
        </w:tc>
        <w:tc>
          <w:tcP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b w:val="1"/>
                <w:bCs w:val="1"/>
                <w:color w:val="00ff00"/>
              </w:rPr>
            </w:pPr>
            <w:r w:rsidDel="00000000" w:rsidR="00000000" w:rsidRPr="00000000">
              <w:rPr>
                <w:b w:val="1"/>
                <w:bCs w:val="1"/>
                <w:color w:val="00ff00"/>
                <w:rtl w:val="0"/>
              </w:rPr>
              <w:t xml:space="preserve">O </w:t>
            </w:r>
          </w:p>
        </w:tc>
        <w:tc>
          <w:tcP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84%</w:t>
            </w:r>
          </w:p>
        </w:tc>
        <w:tc>
          <w:tcP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salarios de los altos funcionarios (funcionarios de primer y segundo nivel, es decir, secretarios generales o equivalentes, y superiores) de todos los ministerios están disponibles públicamente en los sitios web de los ministerios o en el portal gubernamental.</w:t>
            </w:r>
          </w:p>
        </w:tc>
        <w:tc>
          <w:tcP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declaraciones patrimoniales de los dos niveles superiores de los empleados públicos del poder ejecutivo, los miembros del poder judicial y los funcionarios electos nacionales están disponibles públicamente.</w:t>
            </w:r>
          </w:p>
        </w:tc>
        <w:tc>
          <w:tcP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declaraciones de intereses de los dos niveles superiores de los empleados públicos del poder ejecutivo, los miembros del poder judicial, el parlamento y el gobierno están disponibles públicamente.</w:t>
            </w:r>
          </w:p>
        </w:tc>
        <w:tc>
          <w:tcP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w:t>
            </w:r>
          </w:p>
        </w:tc>
        <w:tc>
          <w:tcP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r>
    </w:tbl>
    <w:p w:rsidR="00000000" w:rsidDel="00000000" w:rsidP="00000000" w:rsidRDefault="00000000" w:rsidRPr="00000000" w14:paraId="000000FD">
      <w:pPr>
        <w:rPr>
          <w:sz w:val="18"/>
          <w:szCs w:val="18"/>
        </w:rPr>
      </w:pPr>
      <w:r w:rsidDel="00000000" w:rsidR="00000000" w:rsidRPr="00000000">
        <w:rPr>
          <w:rtl w:val="0"/>
        </w:rPr>
      </w:r>
    </w:p>
    <w:p w:rsidR="00000000" w:rsidDel="00000000" w:rsidP="00000000" w:rsidRDefault="00000000" w:rsidRPr="00000000" w14:paraId="000000FE">
      <w:pPr>
        <w:rPr>
          <w:sz w:val="18"/>
          <w:szCs w:val="18"/>
        </w:rPr>
      </w:pPr>
      <w:r w:rsidDel="00000000" w:rsidR="00000000" w:rsidRPr="00000000">
        <w:rPr>
          <w:sz w:val="18"/>
          <w:szCs w:val="18"/>
          <w:rtl w:val="0"/>
        </w:rPr>
        <w:t xml:space="preserve">Nota: Los criterios provienen de los conjuntos de datos de los Indicadores de Integridad Pública de la OCDE sobre «Marco regulatorio para el acceso a la información, datos abiertos y consulta pública», «Cobertura de las funciones básicas para implementar el acceso a la información y datos abiertos», «Apertura del proceso de toma de decisiones gubernamentales» y «Divulgación proactiva de conjuntos de datos».</w:t>
      </w:r>
    </w:p>
    <w:p w:rsidR="00000000" w:rsidDel="00000000" w:rsidP="00000000" w:rsidRDefault="00000000" w:rsidRPr="00000000" w14:paraId="000000FF">
      <w:pPr>
        <w:rPr>
          <w:sz w:val="18"/>
          <w:szCs w:val="18"/>
        </w:rPr>
      </w:pPr>
      <w:r w:rsidDel="00000000" w:rsidR="00000000" w:rsidRPr="00000000">
        <w:rPr>
          <w:sz w:val="18"/>
          <w:szCs w:val="18"/>
          <w:rtl w:val="0"/>
        </w:rPr>
        <w:t xml:space="preserve">Fuente: Indicadores de Integridad Pública de la OCDE, https://oecd-public-integrity-indicators.org/</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12. El Gobierno dominicano está tomando medidas para subsanar estas lagunas y deficiencias, en particular mediante la elaboración de un proyecto de Ley Orgánica que establece la Superintendencia de Integridad, Transparencia y Ética Gubernamental (SITEG), que aún se encontraba en debate al momento de redactar este documento (véase también el Capítulo 1). La ley crearía un Sistema Nacional de Transparencia e Integridad Pública estructurado en torno a dos pilares fundamentales: transparencia e integridad, con el SITEG como su órgano rector. El pilar de transparencia abarcaría las normas, principios y mecanismos destinados a promover la transparencia institucional, garantizar el acceso a la información pública, fomentar el gobierno abierto, fomentar el uso y la reutilización de datos en formatos abiertos y proteger los datos personales. La adopción de esta ley también daría lugar a una serie de modificaciones y actualizaciones legislativas, incluyendo la Ley N.° 200-04 sobre Libre Acceso a la Información Pública y la Ley N.° 172-13 sobre Protección de Datos Personales, así como otras leyes relacionadas, con el fin de garantizar la coherencia con el nuevo marco y consolidar la arquitectura institucional para la transparencia y la integridad pública. En consecuencia, este capítulo describe recomendaciones clave para fortalecer la transparencia de la información pública y el acceso a la información en la República Dominicana, siguiendo las siguientes prioridades: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numPr>
          <w:ilvl w:val="0"/>
          <w:numId w:val="4"/>
        </w:numPr>
        <w:ind w:left="720" w:hanging="360"/>
        <w:rPr>
          <w:u w:val="none"/>
        </w:rPr>
      </w:pPr>
      <w:r w:rsidDel="00000000" w:rsidR="00000000" w:rsidRPr="00000000">
        <w:rPr>
          <w:rtl w:val="0"/>
        </w:rPr>
        <w:t xml:space="preserve">Fortalecer las condiciones legales, institucionales y operativas para el acceso efectivo a la información.</w:t>
      </w:r>
    </w:p>
    <w:p w:rsidR="00000000" w:rsidDel="00000000" w:rsidP="00000000" w:rsidRDefault="00000000" w:rsidRPr="00000000" w14:paraId="00000104">
      <w:pPr>
        <w:numPr>
          <w:ilvl w:val="0"/>
          <w:numId w:val="4"/>
        </w:numPr>
        <w:ind w:left="720" w:hanging="360"/>
        <w:rPr>
          <w:u w:val="none"/>
        </w:rPr>
      </w:pPr>
      <w:r w:rsidDel="00000000" w:rsidR="00000000" w:rsidRPr="00000000">
        <w:rPr>
          <w:rtl w:val="0"/>
        </w:rPr>
        <w:t xml:space="preserve">Fortalecer los mecanismos operativos para el acceso a la información mediante la integración digital, la accesibilidad y la divulgación proactiva.</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b w:val="1"/>
          <w:bCs w:val="1"/>
          <w:color w:val="3c78d8"/>
          <w:rtl w:val="0"/>
        </w:rPr>
        <w:t xml:space="preserve">4.2. Fortalecimiento del marco legal e institucional para el acceso efectivo a la información.</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13. Un marco legal eficaz que establezca claramente cómo se debe ejercer el derecho a la información constituye la base de un sistema sólido de acceso a la información. Los elementos centrales de las leyes de acceso a la información suelen incluir el alcance del derecho, disposiciones para la divulgación proactiva y reactiva, exenciones y motivos de denegación claramente definidos, mecanismos de apelación y la asignación de responsabilidades institucionales para la supervisión y la implementación. La dotación de recursos adecuados también es fundamental, incluyendo la inversión en herramientas como portales intuitivos y sistemas de gestión de la información que faciliten la presentación y el procesamiento de solicitudes y permitan respuestas más oportunas (OCDE, 2020 [2]). En consecuencia, esta sección describe recomendaciones clave para garantizar un marco legal propicio, recursos adecuados y respuestas oportunas para un acceso efectivo a la información en la República Dominicana.</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b w:val="1"/>
          <w:bCs w:val="1"/>
          <w:color w:val="3c78d8"/>
          <w:rtl w:val="0"/>
        </w:rPr>
        <w:t xml:space="preserve">4.2.1. La República Dominicana podría considerar consagrar en la legislación primaria el principio de que la información y los datos gubernamentales son "abiertos por defecto".</w:t>
      </w: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14. El marco legal y regulatorio actual de la República Dominicana no se ajusta plenamente a los estándares de la OCDE sobre gobierno abierto, en particular al principio de que la información y los datos en poder del gobierno deben ser "abiertos por defecto". El artículo 3 de la Ley n.° 200-04 define una lista de conjuntos de datos e información que deben hacerse públicos, incluyendo datos presupuestarios, programas y proyectos, contratación pública, cargos y remuneraciones de funcionarios públicos, beneficiarios de programas públicos, deuda pública, instrumentos jurídicos y regulatorios, estadísticas oficiales y marcos regulatorios que rigen los servicios públicos. Esta lista se ajusta en gran medida a los estándares internacionales, incluyendo el alcance de la información contemplada en el artículo 13 de la Directiva de la UE sobre Datos Abiertos y la Reutilización de la Información del Sector Público.</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15. Sin embargo, ni la Constitución ni el marco legal sobre acceso a la información establecen explícitamente la apertura como norma general para los datos gubernamentales, y las disposiciones vigentes, como el Artículo 11 de la Ley N.° 200-04, se centran principalmente en las modalidades de entrega de información previa solicitud, en lugar de en la divulgación proactiva, la reutilización o la publicación en formatos abiertos y legibles por máquina. En consecuencia, el marco no articula claramente las expectativas respecto a la reutilización de datos, los estándares de metadatos o la interoperabilidad, lo que limita la implementación práctica de los principios de datos gubernamentales abiertos. A nivel de la OCDE, el 59 % de los países especifican en su legislación primaria que los datos gubernamentales son "abiertos por defecto", mientras que la República Dominicana forma parte del 54 % de los países socios cubiertos por los Indicadores de Integridad Pública de la OCDE que no cuentan con dicho requisito legislativo.</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b w:val="1"/>
          <w:bCs w:val="1"/>
          <w:color w:val="3c78d8"/>
        </w:rPr>
      </w:pPr>
      <w:r w:rsidDel="00000000" w:rsidR="00000000" w:rsidRPr="00000000">
        <w:rPr>
          <w:b w:val="1"/>
          <w:bCs w:val="1"/>
          <w:color w:val="3c78d8"/>
          <w:rtl w:val="0"/>
        </w:rPr>
        <w:t xml:space="preserve">Figura 4.2. La República Dominicana no especifica en su legislación primaria que los datos gubernamentales sean abiertos por defecto.</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drawing>
          <wp:inline distB="114300" distT="114300" distL="114300" distR="114300">
            <wp:extent cx="5943600" cy="2146300"/>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94360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sz w:val="18"/>
          <w:szCs w:val="18"/>
        </w:rPr>
      </w:pPr>
      <w:r w:rsidDel="00000000" w:rsidR="00000000" w:rsidRPr="00000000">
        <w:rPr>
          <w:sz w:val="18"/>
          <w:szCs w:val="18"/>
          <w:rtl w:val="0"/>
        </w:rPr>
        <w:t xml:space="preserve">Nota: Los gráficos se basan en el cumplimiento por parte de los países del criterio «La legislación primaria especifica que los datos gubernamentales son "abiertos por defecto" (excepto en casos específicos definidos en el marco regulatorio)». Fuente: Indicadores de Integridad Pública de la OCDE (2025)</w:t>
      </w:r>
    </w:p>
    <w:p w:rsidR="00000000" w:rsidDel="00000000" w:rsidP="00000000" w:rsidRDefault="00000000" w:rsidRPr="00000000" w14:paraId="00000115">
      <w:pPr>
        <w:rPr>
          <w:sz w:val="18"/>
          <w:szCs w:val="18"/>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16. Como se establece en la Recomendación de la OCDE sobre la Mejora del Acceso y el Intercambio de Datos, la apertura predeterminada de los datos gubernamentales debería ser un elemento clave de las estrategias más amplias de gobierno abierto de los gobiernos (OCDE, 2021 [11]). Un enfoque de apertura predeterminada ofrece varias ventajas. Además de mejorar la transparencia gubernamental y la confianza pública, apoya la formulación de políticas basadas en la evidencia y contribuye a una legislación y políticas públicas más informadas y sólidas. También puede mejorar la eficiencia administrativa al reducir la carga de información y los costos operativos mediante la automatización, incluido el uso de IA. Además, la apertura de datos para su reutilización comercial puede promover una competencia de mercado más equilibrada al mejorar el acceso a la información y fomentar la innovación y la entrada de nuevos actores en el mercado (ACSH, 2022 [12]; OCDE, 2020 [13]).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17. En este sentido, el proyecto de Ley Orgánica que crea la Superintendencia de Integridad, Transparencia y Ética Gubernamental (SITEG), actualmente en debate, representa un paso significativo hacia el fortalecimiento del marco institucional para la transparencia, los datos abiertos y el gobierno abierto en la República Dominicana. El proyecto de ley exigiría transparencia proactiva y facultaría a la SITEG para regular la publicación, el uso y la reutilización de datos públicos en formatos abiertos, administrar el Portal Nacional de Datos Abiertos, coordinar la Comisión Nacional de Datos Abiertos y supervisar el cumplimiento de las obligaciones de transparencia, incluyendo la aplicación de sanciones por la falta de publicación de información o la divulgación de datos en formatos abiertos.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18. Por lo tanto, este proceso legislativo ofrece una oportunidad oportuna para incorporar una clara presunción de apertura en la legislación primaria, sujeta a excepciones bien definidas y proporcionadas relacionadas con la privacidad, la protección de datos y la seguridad. Consagrar explícitamente este principio proporcionaría una sólida base normativa para la divulgación proactiva, la reutilización de datos y la interoperabilidad, y contribuiría a una mayor armonización del marco jurídico de la República Dominicana con las buenas prácticas de la OCDE.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ind w:left="720" w:firstLine="0"/>
        <w:rPr>
          <w:b w:val="1"/>
          <w:bCs w:val="1"/>
        </w:rPr>
      </w:pPr>
      <w:r w:rsidDel="00000000" w:rsidR="00000000" w:rsidRPr="00000000">
        <w:rPr>
          <w:b w:val="1"/>
          <w:bCs w:val="1"/>
          <w:rtl w:val="0"/>
        </w:rPr>
        <w:t xml:space="preserve">4.2.2. La Ley n.° 200-04 podría modificarse para establecer procedimientos más claros para la tramitación de recursos externos en relación con la divulgación reactiva de información.</w:t>
      </w:r>
    </w:p>
    <w:p w:rsidR="00000000" w:rsidDel="00000000" w:rsidP="00000000" w:rsidRDefault="00000000" w:rsidRPr="00000000" w14:paraId="0000011D">
      <w:pPr>
        <w:rPr>
          <w:b w:val="1"/>
          <w:bCs w:val="1"/>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19. En la República Dominicana, el marco de acceso a la información establece un amplio espectro de entidades obligadas y titulares de derechos, que se ajusta en gran medida a las buenas prácticas internacionales. La Ley N.° 200-04 designa a todas las instituciones públicas, así como a las entidades privadas y a las personas que desempeñan funciones públicas o gestionan recursos públicos, como titulares de información pública. El marco se aplica a los poderes ejecutivo, legislativo y judicial, aunque, en el caso de estos últimos, su aplicación se limita a las actividades administrativas.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20. El marco legal también garantiza el derecho de acceso a la información a todas las personas, incluidas las personas no nacionales y las personas jurídicas, y abarca todos los formatos de información disponibles. Esto se ve reforzado por las disposiciones constitucionales que reconocen el derecho de toda persona a buscar, recibir y difundir información pública (Constitución de la República Dominicana, artículos 49 y 25), así como por el Reglamento para la Aplicación de la Ley General de Libre Acceso a la Información Pública (Decreto N.º 130-05), que reconoce explícitamente a las personas jurídicas como solicitantes de información, incluso a través de representantes autorizados (artículo 14).</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21. El artículo 8 de la Ley N.º 200-04 exige a los organismos públicos responder en un plazo de quince (15) días hábiles, con una única prórroga excepcional de hasta diez (10) días hábiles adicionales, debidamente justificada y comunicada con antelación. Además, el marco regulatorio garantiza que el acceso a la información no esté condicionado a la justificación del solicitante. El artículo 15 del Reglamento de Aplicación de la Ley n.° 200-04 (Decreto n.° 130-05) aclara que ninguna declaración de propósito presentada por el solicitante puede utilizarse como fundamento para denegar una solicitud y que basta con invocar un interés simple, siendo la responsabilidad del uso de la información la del solicitante. El artículo 14 de la Ley n.° 200-04 establece que el acceso es gratuito siempre que no se requiera la reproducción de la información; cuando la reproducción sea necesaria, las instituciones podrán cobrar tarifas razonables calculadas sobre la base del costo de suministro de la información.</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22. Sin embargo, a pesar de contener muchas de las disposiciones mínimas esenciales que se encuentran comúnmente en los sistemas de acceso a la información más avanzados, la Ley n.° 200-04 presenta un desempeño comparativamente deficiente en términos de calidad jurídica. Si bien la ley se ha implementado y puesto en práctica mediante instrumentos secundarios, en particular el Decreto n.° 130-05 (el reglamento de aplicación) y las normas administrativas posteriores sobre portales de transparencia, estas medidas no han modificado la legislación primaria, que se ha mantenido inalterada desde su adopción en 2004. Según la Clasificación del Derecho a la Información (RTI), la ley ocupa el puesto 128 entre 141 países evaluados, con una puntuación de 58 de 130 puntos posibles (Center for Law and Democracy, 2023 [14]). La evaluación identifica puntuaciones particularmente bajas en las áreas de apelaciones y sanciones, lo que pone de relieve las deficiencias en los mecanismos de aplicación y reparación (Figura 4.2).</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b w:val="1"/>
          <w:bCs w:val="1"/>
          <w:color w:val="3c78d8"/>
        </w:rPr>
      </w:pPr>
      <w:r w:rsidDel="00000000" w:rsidR="00000000" w:rsidRPr="00000000">
        <w:rPr>
          <w:b w:val="1"/>
          <w:bCs w:val="1"/>
          <w:color w:val="3c78d8"/>
          <w:rtl w:val="0"/>
        </w:rPr>
        <w:t xml:space="preserve">Figura 4.3. El marco legal de acceso a la información de la República Dominicana presenta deficiencias en las dimensiones de apelaciones, sanciones y medidas de promoción.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drawing>
          <wp:inline distB="114300" distT="114300" distL="114300" distR="114300">
            <wp:extent cx="5943600" cy="3048000"/>
            <wp:effectExtent b="0" l="0" r="0" t="0"/>
            <wp:docPr id="8"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59436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sz w:val="18"/>
          <w:szCs w:val="18"/>
        </w:rPr>
      </w:pPr>
      <w:r w:rsidDel="00000000" w:rsidR="00000000" w:rsidRPr="00000000">
        <w:rPr>
          <w:sz w:val="18"/>
          <w:szCs w:val="18"/>
          <w:rtl w:val="0"/>
        </w:rPr>
        <w:t xml:space="preserve">Nota: La puntuación compuesta máxima alcanzable es de 150 y refleja un marco legal sólido de acceso a la información (DTI). La calificación global de las leyes de acceso a la información (DTI) se compone de 61 indicadores que miden siete dimensiones: Derecho de acceso; Alcance; Procedimientos de solicitud; Excepciones y denegaciones; Apelaciones; Sanciones y protección; y Medidas de promoción. Los porcentajes se calculan con base en las puntuaciones máximas posibles por dimensión y la puntuación real de acceso a la información (DTI) obtenida por la República Dominicana.</w:t>
      </w:r>
    </w:p>
    <w:p w:rsidR="00000000" w:rsidDel="00000000" w:rsidP="00000000" w:rsidRDefault="00000000" w:rsidRPr="00000000" w14:paraId="00000133">
      <w:pPr>
        <w:rPr>
          <w:sz w:val="18"/>
          <w:szCs w:val="18"/>
        </w:rPr>
      </w:pPr>
      <w:r w:rsidDel="00000000" w:rsidR="00000000" w:rsidRPr="00000000">
        <w:rPr>
          <w:sz w:val="18"/>
          <w:szCs w:val="18"/>
          <w:rtl w:val="0"/>
        </w:rPr>
        <w:t xml:space="preserve">Fuente: Access Info Europe (AIE) y el Centro para el Derecho y la Democracia (CLD), Calificación del Derecho a la Información, </w:t>
      </w:r>
      <w:hyperlink r:id="rId11">
        <w:r w:rsidDel="00000000" w:rsidR="00000000" w:rsidRPr="00000000">
          <w:rPr>
            <w:color w:val="1155cc"/>
            <w:sz w:val="18"/>
            <w:szCs w:val="18"/>
            <w:u w:val="single"/>
            <w:rtl w:val="0"/>
          </w:rPr>
          <w:t xml:space="preserve">https://www.rti-rating.org/</w:t>
        </w:r>
      </w:hyperlink>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23. En cuanto a las excepciones y denegaciones, las buenas prácticas internacionales sugieren que todas las excepciones deben ser necesarias, apropiadas y proporcionadas. Las pruebas de interés público y de perjuicio son dos formas comunes de eximir información para garantizar que sea proporcionada y necesaria. En este sentido, el artículo 17 de la Ley n.º 200-04 establece una lista cerrada de exenciones, que incluye la protección de la defensa nacional, la seguridad y las relaciones internacionales; la seguridad pública y la eficacia de las medidas públicas; y los intereses comerciales, industriales, científicos y financieros, incluido el funcionamiento del sistema bancario y la protección de la competencia leal en la contratación pública. Estos motivos corresponden, en esencia, a los establecidos en el artículo 3, apartados a), b) y g), del Convenio de Tromsø, aunque la República Dominicana no ha firmado ni ratificado dicho Convenio. El artículo 18 permite denegar las solicitudes cuando la divulgación afecte a intereses privados primordiales, en particular la privacidad personal y los derechos de propiedad intelectual.</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24. Sin embargo, algunas excepciones son amplias y su definición es imprecisa en comparación con las buenas prácticas internacionales, por ejemplo, la excepción 17(b) (“cuando la divulgación inoportuna de la información pueda afectar el éxito de una medida de carácter público”) y la 17(l) (“información cuya divulgación pondría en riesgo la salud y la seguridad públicas, el medio ambiente o el interés público en general”). Además, la ley no establece una prueba general de perjuicio aplicable a todas las excepciones, lo que significa que la divulgación puede denegarse sin necesidad de demostrar un riesgo de perjuicio real a un interés protegido. Tampoco establece una primacía obligatoria del interés público que exija la divulgación de información cuando el interés público general prevalezca sobre el perjuicio potencial de la divulgación. Una consideración limitada del interés público se aplica únicamente en relación con la privacidad de terceros en virtud del Artículo 18, que permite la divulgación de datos personales con el consentimiento del titular de los datos o cuando se demuestra un interés público prevalente, incluso para respaldar una investigación pública en curso. Además, la ley no incluye una cláusula de divisibilidad y, por lo tanto, no exige la divulgación parcial cuando solo una parte del expediente esté sujeta a una excepción.</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25. En cuanto a los recursos, la Ley N.° 200-04 establece un mecanismo de revisión interna que permite a los solicitantes impugnar decisiones ante la autoridad jerárquica superior (artículo 27), así como acceder a la revisión judicial si persiste la insatisfacción, incluyendo recursos ante el Tribunal Superior Administrativo en un plazo de quince días hábiles (artículo 28). Además, la ley garantiza el derecho a solicitar protección judicial mediante un recurso de amparo ante el Tribunal Contencioso Administrativo en caso de denegación o demora indebida, garantizando recursos efectivos tanto contra la denegación como contra la inactividad administrativa (artículo 29).</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26. Si bien la existencia de un mecanismo de apelación interna, que permite a los solicitantes impugnar una denegación ante la misma institución que denegó la solicitud original, es coherente con las buenas prácticas y se encuentra en el 85 % de los miembros de la OCDE que respondieron a la Encuesta de Gobierno Abierto (OCDE, 2022 [15]), el marco no contempla la posibilidad de apelar ante un organismo independiente de supervisión administrativa, como una comisión de información o un defensor del pueblo, además de la posibilidad de interponer una revisión judicial. En la OCDE, el 85 % de los países contemplan la posibilidad de apelar externamente ante una institución de supervisión independiente, siendo los mecanismos más comunes los siguientes:</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numPr>
          <w:ilvl w:val="0"/>
          <w:numId w:val="1"/>
        </w:numPr>
        <w:ind w:left="720" w:hanging="360"/>
        <w:rPr>
          <w:u w:val="none"/>
        </w:rPr>
      </w:pPr>
      <w:r w:rsidDel="00000000" w:rsidR="00000000" w:rsidRPr="00000000">
        <w:rPr>
          <w:b w:val="1"/>
          <w:bCs w:val="1"/>
          <w:rtl w:val="0"/>
        </w:rPr>
        <w:t xml:space="preserve">Apelación interna:</w:t>
      </w:r>
      <w:r w:rsidDel="00000000" w:rsidR="00000000" w:rsidRPr="00000000">
        <w:rPr>
          <w:rtl w:val="0"/>
        </w:rPr>
        <w:t xml:space="preserve"> El solicitante puede presentar una apelación interna ante la misma institución u organismo que denegó su solicitud original de información.</w:t>
      </w:r>
    </w:p>
    <w:p w:rsidR="00000000" w:rsidDel="00000000" w:rsidP="00000000" w:rsidRDefault="00000000" w:rsidRPr="00000000" w14:paraId="0000013E">
      <w:pPr>
        <w:numPr>
          <w:ilvl w:val="0"/>
          <w:numId w:val="1"/>
        </w:numPr>
        <w:ind w:left="720" w:hanging="360"/>
        <w:rPr>
          <w:u w:val="none"/>
        </w:rPr>
      </w:pPr>
      <w:r w:rsidDel="00000000" w:rsidR="00000000" w:rsidRPr="00000000">
        <w:rPr>
          <w:b w:val="1"/>
          <w:bCs w:val="1"/>
          <w:rtl w:val="0"/>
        </w:rPr>
        <w:t xml:space="preserve">Apelación externa ante una institución de supervisión independiente:</w:t>
      </w:r>
      <w:r w:rsidDel="00000000" w:rsidR="00000000" w:rsidRPr="00000000">
        <w:rPr>
          <w:rtl w:val="0"/>
        </w:rPr>
        <w:t xml:space="preserve"> El solicitante puede presentar una apelación externa ante una institución de supervisión independiente (por ejemplo, una comisión de información o un defensor del pueblo).</w:t>
      </w:r>
    </w:p>
    <w:p w:rsidR="00000000" w:rsidDel="00000000" w:rsidP="00000000" w:rsidRDefault="00000000" w:rsidRPr="00000000" w14:paraId="0000013F">
      <w:pPr>
        <w:numPr>
          <w:ilvl w:val="0"/>
          <w:numId w:val="1"/>
        </w:numPr>
        <w:ind w:left="720" w:hanging="360"/>
        <w:rPr>
          <w:u w:val="none"/>
        </w:rPr>
      </w:pPr>
      <w:r w:rsidDel="00000000" w:rsidR="00000000" w:rsidRPr="00000000">
        <w:rPr>
          <w:b w:val="1"/>
          <w:bCs w:val="1"/>
          <w:rtl w:val="0"/>
        </w:rPr>
        <w:t xml:space="preserve">Recurso judicial (p. ej., ante tribunales):</w:t>
      </w:r>
      <w:r w:rsidDel="00000000" w:rsidR="00000000" w:rsidRPr="00000000">
        <w:rPr>
          <w:rtl w:val="0"/>
        </w:rPr>
        <w:t xml:space="preserve"> El solicitante tiene derecho a interponer un recurso judicial. Algunos países pueden exigir que los solicitantes presenten primero un recurso interno o externo (OCDE, 2022 [15]).</w:t>
      </w:r>
    </w:p>
    <w:p w:rsidR="00000000" w:rsidDel="00000000" w:rsidP="00000000" w:rsidRDefault="00000000" w:rsidRPr="00000000" w14:paraId="00000140">
      <w:pPr>
        <w:ind w:left="720" w:firstLine="0"/>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27. Además, el marco no especifica si los recursos judiciales son gratuitos o pueden interponerse sin asistencia jurídica. Por último, los motivos de recurso externo no están definidos de forma clara ni exhaustiva. Los recursos internos se limitan a casos de insatisfacción con las decisiones relativas a la divulgación de información, mientras que los recursos judiciales pueden interponerse contra la decisión adoptada a través del mecanismo de recurso interno. En consecuencia, situaciones clave, como la negativa a proporcionar información en el formato solicitado, los casos de silencio administrativo o el incumplimiento de los plazos legales, o el cobro de tasas excesivas, no están contemplados explícitamente ni en los procesos de recurso interno ni en los judiciales. Si bien el recurso de amparo ofrece un recurso en los casos en que las autoridades públicas no proporcionan información dentro de los plazos prescritos, o cuando la autoridad jerárquica superior no resuelve un recurso dentro del plazo requerido, su alcance no cubre plenamente estas lagunas adicionales.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28. En cuanto a las sanciones, la existencia de sanciones proporcionadas y ejecutables por incumplimiento es un elemento fundamental de los marcos eficaces de acceso a la información, ya que la ausencia de sanciones puede generar incentivos negativos y contribuir a prácticas como la aplicación excesivamente amplia de exenciones o el silencio administrativo persistente. En la República Dominicana, la única disposición que aborda explícitamente las sanciones es el artículo 30, que establece sanciones penales para los funcionarios o agentes públicos que nieguen, obstruyan o impidan arbitrariamente el acceso a la información, incluyendo penas de prisión de seis meses a dos años e inhabilitación para ejercer cargos públicos durante cinco años. Sin embargo, el marco legal no prevé sanciones graduales ni administrativas para las autoridades públicas que incumplen sistemáticamente el derecho a la información, ni establece mecanismos para abordar el bajo rendimiento crónico, como medidas correctivas u órdenes de cumplimiento. Además, la Ley de Acceso a la Información no incluye protecciones para los funcionarios públicos que divulguen información de buena fe conforme a la ley, lo que podría desalentar el cumplimiento y la divulgación proactiva.</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29. Las discusiones en curso en torno al proyecto de Ley Orgánica que establece la Superintendencia de Integridad, Transparencia y Ética Gubernamental brindan una excelente oportunidad para cerrar las brechas identificadas anteriormente y garantizar que reflejen los cambios en el funcionamiento de las administraciones públicas modernas. La República Dominicana se uniría al 70% de los países de la OCDE que han modificado sus Leyes de Integridad, Transparencia y Ética Gubernamental desde su adopción para ampliar este derecho debido a la naturaleza cambiante de la información y al aumento de la demanda (Figura 4.4). En particular, la República Dominicana podría considerar aclarar aún más el alcance y la aplicación de las excepciones mediante la introducción de una prueba general de perjuicio y una prelación obligatoria del interés público, en consonancia con los estándares internacionales. Además, modificar la ley para introducir sanciones proporcionadas por incumplimiento y brindar protección de buena fe a los funcionarios que divulguen información en el marco de la Integridad, Transparencia y Ética Gubernamental podría fortalecer la aplicación y fomentar una implementación más consistente.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bCs w:val="1"/>
          <w:color w:val="3c78d8"/>
        </w:rPr>
      </w:pPr>
      <w:r w:rsidDel="00000000" w:rsidR="00000000" w:rsidRPr="00000000">
        <w:rPr>
          <w:b w:val="1"/>
          <w:bCs w:val="1"/>
          <w:color w:val="3c78d8"/>
          <w:rtl w:val="0"/>
        </w:rPr>
        <w:t xml:space="preserve">Figura 4.4. Países que han modificado sus leyes de ATI, 2020</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sz w:val="18"/>
          <w:szCs w:val="18"/>
        </w:rPr>
      </w:pPr>
      <w:r w:rsidDel="00000000" w:rsidR="00000000" w:rsidRPr="00000000">
        <w:rPr>
          <w:sz w:val="18"/>
          <w:szCs w:val="18"/>
          <w:rtl w:val="0"/>
        </w:rPr>
        <w:t xml:space="preserve">Aali: Acceso a la información. </w:t>
      </w:r>
    </w:p>
    <w:p w:rsidR="00000000" w:rsidDel="00000000" w:rsidP="00000000" w:rsidRDefault="00000000" w:rsidRPr="00000000" w14:paraId="0000014B">
      <w:pPr>
        <w:rPr/>
      </w:pPr>
      <w:r w:rsidDel="00000000" w:rsidR="00000000" w:rsidRPr="00000000">
        <w:rPr/>
        <w:drawing>
          <wp:inline distB="114300" distT="114300" distL="114300" distR="114300">
            <wp:extent cx="5943600" cy="2755900"/>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36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14C">
      <w:pPr>
        <w:rPr>
          <w:sz w:val="18"/>
          <w:szCs w:val="18"/>
        </w:rPr>
      </w:pPr>
      <w:r w:rsidDel="00000000" w:rsidR="00000000" w:rsidRPr="00000000">
        <w:rPr>
          <w:sz w:val="18"/>
          <w:szCs w:val="18"/>
          <w:rtl w:val="0"/>
        </w:rPr>
        <w:t xml:space="preserve">Nota: "Todos" se refiere a 51 encuestados (33 miembros de la OCDE y 18 no miembros). El Reino Unido no cuenta con una constitución escrita. Sin embargo, existen varias leyes que se consideran equivalentes a la constitución. La Ley de Derechos Humanos de 1998 es una de ellas y menciona el derecho a la información como parte del derecho a la libertad de expresión en su artículo 10: Toda persona tiene derecho a la libertad de expresión. Este derecho incluye la libertad de opinión y la libertad de recibir y difundir información e ideas sin injerencia de autoridades públicas, sin consideración de fronteras.</w:t>
      </w:r>
    </w:p>
    <w:p w:rsidR="00000000" w:rsidDel="00000000" w:rsidP="00000000" w:rsidRDefault="00000000" w:rsidRPr="00000000" w14:paraId="0000014D">
      <w:pPr>
        <w:rPr>
          <w:sz w:val="18"/>
          <w:szCs w:val="18"/>
        </w:rPr>
      </w:pPr>
      <w:r w:rsidDel="00000000" w:rsidR="00000000" w:rsidRPr="00000000">
        <w:rPr>
          <w:sz w:val="18"/>
          <w:szCs w:val="18"/>
          <w:rtl w:val="0"/>
        </w:rPr>
        <w:t xml:space="preserve">Fuente: Encuesta de la OCDE de 2020 sobre Gobierno Abierto y la Calificación Global del Derecho a la Información (s.f. [27]), "Por país", </w:t>
      </w:r>
      <w:hyperlink r:id="rId13">
        <w:r w:rsidDel="00000000" w:rsidR="00000000" w:rsidRPr="00000000">
          <w:rPr>
            <w:color w:val="1155cc"/>
            <w:sz w:val="18"/>
            <w:szCs w:val="18"/>
            <w:u w:val="single"/>
            <w:rtl w:val="0"/>
          </w:rPr>
          <w:t xml:space="preserve">https://www.rti-rating.org/country-data/ </w:t>
        </w:r>
      </w:hyperlink>
      <w:r w:rsidDel="00000000" w:rsidR="00000000" w:rsidRPr="00000000">
        <w:rPr>
          <w:sz w:val="18"/>
          <w:szCs w:val="18"/>
          <w:rtl w:val="0"/>
        </w:rPr>
        <w:t xml:space="preserve">(consultado el 16 de diciembre de 2021).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30. Finalmente, para aprovechar plenamente los beneficios del marco de acceso a la información y fortalecer la apropiación y la aceptación tanto de las administraciones públicas como de la ciudadanía, cualquier modificación futura de la ley podría desarrollarse mediante un enfoque participativo. En este sentido, la República Dominicana podría considerar la posibilidad de involucrar a una amplia gama de actores interesados ​​en el proceso de revisión de la Ley de Acceso a la Información Pública y la elaboración de su reglamento, a fin de incorporar perspectivas prácticas y fomentar la apropiación compartida de las reformas.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ind w:left="720" w:firstLine="0"/>
        <w:rPr>
          <w:b w:val="1"/>
          <w:bCs w:val="1"/>
        </w:rPr>
      </w:pPr>
      <w:r w:rsidDel="00000000" w:rsidR="00000000" w:rsidRPr="00000000">
        <w:rPr>
          <w:b w:val="1"/>
          <w:bCs w:val="1"/>
          <w:rtl w:val="0"/>
        </w:rPr>
        <w:t xml:space="preserve">4.2.3. La supervisión de la Ley n.º 200-04 sobre acceso a la información podría encomendarse a una autoridad supervisora ​​con independencia funcional y facultades formales para recibir quejas, revisar denegaciones y emitir decisiones vinculantes.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31. Como autoridad nacional responsable del acceso a la información pública, la DIGEIG ha desempeñado un papel central y proactivo en la aplicación efectiva de las garantías legales. En particular, la DIGEIG evalúa periódicamente el desempeño de todas las instituciones. El mandato de la DIGEIG incluye el registro de los Responsables de Libre Acceso a la Información (RAI) de las instituciones en el SAIP. Paralelamente, la DIGEIG implementa un programa integral de capacitación que ofrece diversos tipos de actividades de desarrollo de capacidades, incluyendo capacitación para RAI y personal técnico. Hasta la fecha, se han impartido 23 sesiones de capacitación sobre la nueva plataforma del SAIP, tanto a nivel nacional como provincial, complementadas con talleres presenciales.</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32. La DIGEIG también realiza evaluaciones mensuales en más de 180 instituciones públicas, incluyendo ministerios, organismos autónomos y agencias descentralizadas, mediante un Índice de Transparencia Estandarizado (ITE). El ITE es una puntuación de cumplimiento asignada a cada institución pública en la República Dominicana, con base en su nivel de publicación de la información de transparencia requerida en línea, a través de sus sitios web institucionales o del portal unificado de transparencia. Comparada con las normas técnicas NORTIC serie A (2014, 2021) y NORTIC E1-2022, la ITE refleja la conformidad con las obligaciones de transparencia obligatorias en categorías como planificación institucional, datos financieros, contratos, datos abiertos, quejas ciudadanas y más.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33. Por último, la DIGEIG realiza inspecciones de cumplimiento periódicamente: durante el último año calendario completo, se realizaron 166 inspecciones en diversas instituciones públicas. Estas abarcaron instituciones clave como el Senado, la Cámara de Diputados, el Tribunal Superior Electoral y el Banco Central (OCDE, 2025 [16]).</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34. Dadas las consideraciones anteriores, la DIGEIG parece ser responsable del seguimiento (mediante informes anuales) y la promoción (mediante el fomento de una cultura del derecho a la ATI) de la Ley de ATI, pero no de su aplicación (garantizar que se proporcione información a quienes la solicitan, desarrollar los planes necesarios, divulgar proactivamente la información solicitada, etc.). Esto se debe a que la función supervisora ​​de la DIGEIG enfrenta varias limitaciones. Como se destacó en la sección anterior, los ciudadanos pueden apelar las denegaciones o la inacción, pero solo internamente dentro del mismo organismo, y luego ante el Tribunal Superior Administrativo. Si bien representantes de la Dirección de Transparencia y Gobierno Abierto de la DIGEIG indicaron que, en la práctica, la DIGEIG también opera un mecanismo de mediación para resolver disputas entre solicitantes e instituciones, el titular de la DIGEIG es nombrado y removido por Decreto Presidencial sin plazo fijo. Esto puede afectar la independencia y la continuidad de sus funciones de supervisión. Además, la DIGEIG no está facultada para resolver controversias de forma independiente ni para imponer sanciones por incumplimiento de la Ley ATI. La facultad de sancionar recae exclusivamente en el poder judicial, ya sea de oficio o a petición de parte que considere que una solicitud de información fue denegada injustificadamente, no respondida o atendida de forma inadecuada.</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35. Si bien los organismos de supervisión del acceso a la información pueden adoptar diversas formas institucionales, su eficacia depende de un mandato regulatorio claro, recursos adecuados y sostenidos, y la autoridad para hacer cumplir las decisiones y aplicar sanciones. En toda la OCDE, estos organismos suelen ser comisiones, agencias u organismos de protección del pueblo independientes con un mandato específico en materia de acceso a la información; un defensor del pueblo con un mandato sobre el acceso a la información en el marco de una amplia gama de otros temas (por ejemplo, derechos humanos, discriminación, género); o una autoridad del gobierno central (Figura 1.4).</w:t>
      </w:r>
    </w:p>
    <w:p w:rsidR="00000000" w:rsidDel="00000000" w:rsidP="00000000" w:rsidRDefault="00000000" w:rsidRPr="00000000" w14:paraId="0000015C">
      <w:pPr>
        <w:rPr/>
      </w:pPr>
      <w:r w:rsidDel="00000000" w:rsidR="00000000" w:rsidRPr="00000000">
        <w:rPr>
          <w:rtl w:val="0"/>
        </w:rPr>
        <w:t xml:space="preserve">En todos los casos, la supervisión es más eficaz cuando el organismo responsable puede realizar inspecciones periódicas, imponer sanciones por incumplimiento de las normas e informar sobre sus actividades.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b w:val="1"/>
          <w:bCs w:val="1"/>
          <w:color w:val="3c78d8"/>
        </w:rPr>
      </w:pPr>
      <w:r w:rsidDel="00000000" w:rsidR="00000000" w:rsidRPr="00000000">
        <w:rPr>
          <w:b w:val="1"/>
          <w:bCs w:val="1"/>
          <w:color w:val="3c78d8"/>
          <w:rtl w:val="0"/>
        </w:rPr>
        <w:t xml:space="preserve">Figura 4.5. Organismos responsables de la aplicación, el seguimiento y/o la promoción de las leyes de acceso a la información, 2020</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Porcentaje de países que proporcionaron datos en la Encuesta de la OCDE sobre Gobierno Abierto</w:t>
      </w:r>
    </w:p>
    <w:p w:rsidR="00000000" w:rsidDel="00000000" w:rsidP="00000000" w:rsidRDefault="00000000" w:rsidRPr="00000000" w14:paraId="00000161">
      <w:pPr>
        <w:rPr/>
      </w:pPr>
      <w:r w:rsidDel="00000000" w:rsidR="00000000" w:rsidRPr="00000000">
        <w:rPr/>
        <w:drawing>
          <wp:inline distB="114300" distT="114300" distL="114300" distR="114300">
            <wp:extent cx="5943600" cy="3238500"/>
            <wp:effectExtent b="0" l="0" r="0" t="0"/>
            <wp:docPr id="7"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9436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rPr>
          <w:sz w:val="18"/>
          <w:szCs w:val="18"/>
        </w:rPr>
      </w:pPr>
      <w:r w:rsidDel="00000000" w:rsidR="00000000" w:rsidRPr="00000000">
        <w:rPr>
          <w:sz w:val="18"/>
          <w:szCs w:val="18"/>
          <w:rtl w:val="0"/>
        </w:rPr>
        <w:t xml:space="preserve">Fuente: Encuesta de la OCDE sobre Gobierno Abierto 2020, en OCDE (2022), Protección y Promoción del Espacio Cívico: Fortalecimiento de la Alineación con los Estándares y Orientaciones Internacionales, </w:t>
      </w:r>
      <w:hyperlink r:id="rId15">
        <w:r w:rsidDel="00000000" w:rsidR="00000000" w:rsidRPr="00000000">
          <w:rPr>
            <w:color w:val="1155cc"/>
            <w:sz w:val="18"/>
            <w:szCs w:val="18"/>
            <w:u w:val="single"/>
            <w:rtl w:val="0"/>
          </w:rPr>
          <w:t xml:space="preserve">https://doi.org/10.1787/d234e975-en</w:t>
        </w:r>
      </w:hyperlink>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36. Dado que la Ley N.° 200-04 se encuentra actualmente en revisión y que la República Dominicana está tomando medidas para fortalecer la independencia y la capacidad institucional de la DIGEIG mediante su transformación en SITEG, este proceso de reforma ofrece una oportunidad oportuna para consagrar en el marco legal una función de supervisión del acceso a la información, dotada de independencia funcional y facultades estatutarias claras para recibir y resolver quejas, revisar denegaciones, emitir decisiones vinculantes, imponer sanciones a las instituciones que incumplen y publicar estadísticas anuales de apelaciones. Según el proyecto de Ley Orgánica que establece la Superintendencia de Integridad, Transparencia y Ética Gubernamental, la SITEG, entre otras funciones esenciales, supervisaría el cumplimiento de la Ley de Acceso a la Información Pública, designaría, en todas las instituciones de la administración pública bajo su jurisdicción, a los Responsables de Acceso a la Información (RAI) para dirigir las Oficinas de Acceso a la Información y supervisaría el desempeño de sus funciones de acuerdo con las directrices emitidas por la SITEG (Artículo 19).</w:t>
      </w:r>
    </w:p>
    <w:p w:rsidR="00000000" w:rsidDel="00000000" w:rsidP="00000000" w:rsidRDefault="00000000" w:rsidRPr="00000000" w14:paraId="00000165">
      <w:pPr>
        <w:rPr/>
      </w:pPr>
      <w:r w:rsidDel="00000000" w:rsidR="00000000" w:rsidRPr="00000000">
        <w:rPr>
          <w:rtl w:val="0"/>
        </w:rPr>
        <w:t xml:space="preserve">37. La ley también establecería un régimen de infracciones administrativas y las sanciones correspondientes por el incumplimiento de las obligaciones relacionadas con el acceso a la información pública, los datos abiertos y el gobierno abierto (Artículos 29 y 30). Entre las infracciones graves se incluirían la falta de publicación proactiva de la información requerida, la falta de respuesta a las solicitudes de información dentro de los plazos legales, la publicación de datos públicos en formatos abiertos o el suministro de información pública sin causa justificada, así como la clasificación indebida de información como reservada o confidencial. La ocultación intencional de información pública relevante se tipificaría como delito muy grave.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38. Más importante aún, el proyecto de ley busca abordar las deficiencias de larga data en la independencia funcional de la DIGEIG al establecer el SITEG como un organismo estatal autónomo y descentralizado, dotado de personalidad jurídica e independencia funcional, administrativa y financiera, y guiado por los principios de legalidad, debido proceso, imparcialidad, transparencia, eficiencia, eficacia, objetividad y unidad de acción (Artículo 4). El SITEG estaría dirigido por un Superintendente, con el apoyo de dos Intendentes.</w:t>
      </w:r>
    </w:p>
    <w:p w:rsidR="00000000" w:rsidDel="00000000" w:rsidP="00000000" w:rsidRDefault="00000000" w:rsidRPr="00000000" w14:paraId="00000168">
      <w:pPr>
        <w:rPr/>
      </w:pPr>
      <w:r w:rsidDel="00000000" w:rsidR="00000000" w:rsidRPr="00000000">
        <w:rPr>
          <w:rtl w:val="0"/>
        </w:rPr>
        <w:t xml:space="preserve">El proyecto de ley establece los requisitos mínimos de elegibilidad y trayectoria profesional del Superintendente (Artículo 12), quien sería nombrado por el Presidente de la República y ratificado por el Senado por un período de cinco años, renovable una vez, y gozaría de estabilidad en el cargo, con posibilidad de destitución solo por causas excepcionales relacionadas con faltas graves (Artículo 13). Para salvaguardar la independencia, el Superintendente estaría sujeto a estrictas incompatibilidades, incluyendo la prohibición de actividades políticas o partidistas y de ocupar cualquier otro cargo público o privado (Artículo 16), y estaría facultado para resolver recursos administrativos dentro de su jurisdicción, agotando la vía administrativa con dichas decisiones (Artículo 14). Los dos Intendentes serían altos funcionarios públicos nombrados por decreto presidencial de conformidad con el marco de la función pública aplicable y estarían sujetos a los mismos requisitos de elegibilidad e incompatibilidades que el Superintendente (Artículo 18).</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39. Si bien las instituciones con mandatos tan amplios como los previstos para el SITEG —que abarcan el acceso a la información, el gobierno abierto, la integridad y la protección de los denunciantes— siguen siendo relativamente poco comunes en los países de la OCDE, la reforma propuesta representa un avance positivo, y las salvaguardias previstas para garantizar la autonomía del SITEG se ajustan en general a las buenas prácticas internacionales. En la mayoría de los países de la OCDE, el organismo responsable de la implementación del acceso a la información (ATI) se establece como una entidad de supervisión independiente o como una autoridad dentro del poder ejecutivo. Se pueden encontrar modelos y salvaguardias comparables en países de la OCDE como Chile y Brasil (Recuadro 4.1).</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40. En este contexto, se alienta al Gobierno de la República Dominicana a continuar en esta dirección, consolidando la autonomía e independencia funcional de la función de supervisión del acceso a la información en la legislación primaria, con el apoyo de sólidas salvaguardias contra la interferencia política indebida, incluyendo procedimientos de nombramiento basados ​​en el mérito, la participación parlamentaria en el nombramiento del titular de la institución, mandatos fijos, causas de destitución claramente definidas y obligaciones de informar al Parlamento.</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color w:val="3c78d8"/>
              </w:rPr>
            </w:pPr>
            <w:r w:rsidDel="00000000" w:rsidR="00000000" w:rsidRPr="00000000">
              <w:rPr>
                <w:b w:val="1"/>
                <w:bCs w:val="1"/>
                <w:color w:val="3c78d8"/>
                <w:rtl w:val="0"/>
              </w:rPr>
              <w:t xml:space="preserve">Recuadro 4.1. El Consejo para la Transparencia, organismo independiente de Chile</w:t>
            </w:r>
          </w:p>
          <w:p w:rsidR="00000000" w:rsidDel="00000000" w:rsidP="00000000" w:rsidRDefault="00000000" w:rsidRPr="00000000" w14:paraId="00000170">
            <w:pPr>
              <w:widowControl w:val="0"/>
              <w:spacing w:line="240" w:lineRule="auto"/>
              <w:rPr>
                <w:b w:val="1"/>
                <w:bCs w:val="1"/>
                <w:color w:val="3c78d8"/>
              </w:rPr>
            </w:pPr>
            <w:r w:rsidDel="00000000" w:rsidR="00000000" w:rsidRPr="00000000">
              <w:rPr>
                <w:rtl w:val="0"/>
              </w:rPr>
            </w:r>
          </w:p>
          <w:p w:rsidR="00000000" w:rsidDel="00000000" w:rsidP="00000000" w:rsidRDefault="00000000" w:rsidRPr="00000000" w14:paraId="00000171">
            <w:pPr>
              <w:widowControl w:val="0"/>
              <w:spacing w:line="240" w:lineRule="auto"/>
              <w:rPr>
                <w:b w:val="1"/>
                <w:bCs w:val="1"/>
              </w:rPr>
            </w:pPr>
            <w:r w:rsidDel="00000000" w:rsidR="00000000" w:rsidRPr="00000000">
              <w:rPr>
                <w:b w:val="1"/>
                <w:bCs w:val="1"/>
                <w:rtl w:val="0"/>
              </w:rPr>
              <w:t xml:space="preserve">Instituciones de supervisión independientes: El Consejo para la Transparencia, organismo independiente de Chile</w:t>
            </w:r>
          </w:p>
          <w:p w:rsidR="00000000" w:rsidDel="00000000" w:rsidP="00000000" w:rsidRDefault="00000000" w:rsidRPr="00000000" w14:paraId="00000172">
            <w:pPr>
              <w:widowControl w:val="0"/>
              <w:spacing w:line="240" w:lineRule="auto"/>
              <w:rPr/>
            </w:pPr>
            <w:r w:rsidDel="00000000" w:rsidR="00000000" w:rsidRPr="00000000">
              <w:rPr>
                <w:rtl w:val="0"/>
              </w:rPr>
            </w:r>
          </w:p>
          <w:p w:rsidR="00000000" w:rsidDel="00000000" w:rsidP="00000000" w:rsidRDefault="00000000" w:rsidRPr="00000000" w14:paraId="00000173">
            <w:pPr>
              <w:widowControl w:val="0"/>
              <w:spacing w:line="240" w:lineRule="auto"/>
              <w:rPr/>
            </w:pPr>
            <w:r w:rsidDel="00000000" w:rsidR="00000000" w:rsidRPr="00000000">
              <w:rPr>
                <w:rtl w:val="0"/>
              </w:rPr>
              <w:t xml:space="preserve">Desde la promulgación de la Ley de Transparencia y Acceso a la Información Pública (Ley N.° 20.285), Chile cuenta con un organismo independiente, el Consejo para la Transparencia, encargado de supervisar el cumplimiento de la transparencia y resolver las apelaciones. Este Consejo tiene personalidad jurídica autónoma y está regido por una junta de cuatro miembros nombrados por el Presidente de la República con la aprobación del Senado, por períodos escalonados de seis años. Los miembros solo pueden ser destituidos en circunstancias específicas definidas por ley. Su independencia se ve reforzada por su autoridad para emitir decisiones vinculantes sobre disputas de acceso a la información, supervisar el cumplimiento en los organismos públicos y aplicar sanciones administrativas por incumplimiento.</w:t>
            </w:r>
          </w:p>
          <w:p w:rsidR="00000000" w:rsidDel="00000000" w:rsidP="00000000" w:rsidRDefault="00000000" w:rsidRPr="00000000" w14:paraId="00000174">
            <w:pPr>
              <w:widowControl w:val="0"/>
              <w:spacing w:line="240" w:lineRule="auto"/>
              <w:rPr/>
            </w:pPr>
            <w:r w:rsidDel="00000000" w:rsidR="00000000" w:rsidRPr="00000000">
              <w:rPr>
                <w:rtl w:val="0"/>
              </w:rPr>
            </w:r>
          </w:p>
          <w:p w:rsidR="00000000" w:rsidDel="00000000" w:rsidP="00000000" w:rsidRDefault="00000000" w:rsidRPr="00000000" w14:paraId="00000175">
            <w:pPr>
              <w:widowControl w:val="0"/>
              <w:spacing w:line="240" w:lineRule="auto"/>
              <w:rPr>
                <w:b w:val="1"/>
                <w:bCs w:val="1"/>
              </w:rPr>
            </w:pPr>
            <w:r w:rsidDel="00000000" w:rsidR="00000000" w:rsidRPr="00000000">
              <w:rPr>
                <w:b w:val="1"/>
                <w:bCs w:val="1"/>
                <w:rtl w:val="0"/>
              </w:rPr>
              <w:t xml:space="preserve">Una institución de control en el poder ejecutivo: la gestión conjunta de cuestiones de integridad y transparencia por parte de la Contraloría General de la Unión (CGU) de Brasil.</w:t>
            </w:r>
          </w:p>
          <w:p w:rsidR="00000000" w:rsidDel="00000000" w:rsidP="00000000" w:rsidRDefault="00000000" w:rsidRPr="00000000" w14:paraId="00000176">
            <w:pPr>
              <w:widowControl w:val="0"/>
              <w:spacing w:line="240" w:lineRule="auto"/>
              <w:rPr/>
            </w:pPr>
            <w:r w:rsidDel="00000000" w:rsidR="00000000" w:rsidRPr="00000000">
              <w:rPr>
                <w:rtl w:val="0"/>
              </w:rPr>
            </w:r>
          </w:p>
          <w:p w:rsidR="00000000" w:rsidDel="00000000" w:rsidP="00000000" w:rsidRDefault="00000000" w:rsidRPr="00000000" w14:paraId="00000177">
            <w:pPr>
              <w:widowControl w:val="0"/>
              <w:spacing w:line="240" w:lineRule="auto"/>
              <w:rPr/>
            </w:pPr>
            <w:r w:rsidDel="00000000" w:rsidR="00000000" w:rsidRPr="00000000">
              <w:rPr>
                <w:rtl w:val="0"/>
              </w:rPr>
              <w:t xml:space="preserve">El órgano rector de la integridad pública y la transparencia en Brasil es la Contraloría General de la Unión (CGU), un órgano del Ejecutivo federal, cuyo mandato es amplio y sólido en comparación con instituciones equivalentes en los países de la región.</w:t>
            </w:r>
          </w:p>
          <w:p w:rsidR="00000000" w:rsidDel="00000000" w:rsidP="00000000" w:rsidRDefault="00000000" w:rsidRPr="00000000" w14:paraId="00000178">
            <w:pPr>
              <w:widowControl w:val="0"/>
              <w:spacing w:line="240" w:lineRule="auto"/>
              <w:rPr/>
            </w:pPr>
            <w:r w:rsidDel="00000000" w:rsidR="00000000" w:rsidRPr="00000000">
              <w:rPr>
                <w:rtl w:val="0"/>
              </w:rPr>
              <w:t xml:space="preserve">Entre las responsabilidades de la CGU se encuentran contribuir a los marcos de gestión de riesgos de integridad y conflictos de intereses, promover la probidad, el control social y la transparencia en la administración pública federal y en la sociedad en general, supervisar las funciones de control interno y auditoría, ejercer las funciones disciplinarias y de defensoría del pueblo, y supervisar la aplicación de la Ley de Acceso a la Información.</w:t>
            </w:r>
          </w:p>
          <w:p w:rsidR="00000000" w:rsidDel="00000000" w:rsidP="00000000" w:rsidRDefault="00000000" w:rsidRPr="00000000" w14:paraId="00000179">
            <w:pPr>
              <w:widowControl w:val="0"/>
              <w:spacing w:line="240" w:lineRule="auto"/>
              <w:rPr/>
            </w:pPr>
            <w:r w:rsidDel="00000000" w:rsidR="00000000" w:rsidRPr="00000000">
              <w:rPr>
                <w:rtl w:val="0"/>
              </w:rPr>
            </w:r>
          </w:p>
          <w:p w:rsidR="00000000" w:rsidDel="00000000" w:rsidP="00000000" w:rsidRDefault="00000000" w:rsidRPr="00000000" w14:paraId="0000017A">
            <w:pPr>
              <w:widowControl w:val="0"/>
              <w:spacing w:line="240" w:lineRule="auto"/>
              <w:rPr/>
            </w:pPr>
            <w:r w:rsidDel="00000000" w:rsidR="00000000" w:rsidRPr="00000000">
              <w:rPr>
                <w:rtl w:val="0"/>
              </w:rPr>
              <w:t xml:space="preserve">En este ámbito, la CGU goza de reconocimiento y un liderazgo consolidado. Recientemente, el Decreto 11.330 de 2023 reorganizó la CGU y la ahora denominada Secretaría de Integridad Pública (SIP), cuyas funciones son formular, coordinar, promover y apoyar la implementación de recomendaciones sobre los temas contemplados en el Sistema de Integridad, Transparencia y Acceso a la Información (SITAI) de la Administración Pública Federal. Estos temas son la transparencia y el gobierno abierto, que incluyen nociones de inclusión y participación ciudadana, integridad pública, conducta ética y gestión de conflictos de interés.</w:t>
            </w:r>
          </w:p>
          <w:p w:rsidR="00000000" w:rsidDel="00000000" w:rsidP="00000000" w:rsidRDefault="00000000" w:rsidRPr="00000000" w14:paraId="0000017B">
            <w:pPr>
              <w:widowControl w:val="0"/>
              <w:spacing w:line="240" w:lineRule="auto"/>
              <w:rPr/>
            </w:pPr>
            <w:r w:rsidDel="00000000" w:rsidR="00000000" w:rsidRPr="00000000">
              <w:rPr>
                <w:rtl w:val="0"/>
              </w:rPr>
            </w:r>
          </w:p>
          <w:p w:rsidR="00000000" w:rsidDel="00000000" w:rsidP="00000000" w:rsidRDefault="00000000" w:rsidRPr="00000000" w14:paraId="0000017C">
            <w:pPr>
              <w:widowControl w:val="0"/>
              <w:spacing w:line="240" w:lineRule="auto"/>
              <w:rPr>
                <w:sz w:val="18"/>
                <w:szCs w:val="18"/>
              </w:rPr>
            </w:pPr>
            <w:r w:rsidDel="00000000" w:rsidR="00000000" w:rsidRPr="00000000">
              <w:rPr>
                <w:sz w:val="18"/>
                <w:szCs w:val="18"/>
                <w:rtl w:val="0"/>
              </w:rPr>
              <w:t xml:space="preserve">Fuente: Secretaría de la OCDE, basado en los Indicadores de Integridad Pública de la OCDE.</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b w:val="1"/>
          <w:bCs w:val="1"/>
          <w:color w:val="3c78d8"/>
        </w:rPr>
      </w:pPr>
      <w:r w:rsidDel="00000000" w:rsidR="00000000" w:rsidRPr="00000000">
        <w:rPr>
          <w:b w:val="1"/>
          <w:bCs w:val="1"/>
          <w:color w:val="3c78d8"/>
          <w:rtl w:val="0"/>
        </w:rPr>
        <w:t xml:space="preserve">4.3. Fortalecimiento de los mecanismos operativos para el acceso a la información mediante la integración digital, la accesibilidad y la divulgación proactiva</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43. Un marco eficaz para el acceso a la información depende no solo de disposiciones legales sólidas, sino también de mecanismos operativos bien diseñados que permitan a las instituciones públicas gestionar, divulgar y proteger la información de forma oportuna, accesible y fácil de usar. En la República Dominicana, un mayor fortalecimiento de la infraestructura digital que sustenta el acceso a la información podría contribuir a mejorar el cumplimiento normativo, la usabilidad y la rendición de cuentas, a la vez que reduce la carga administrativa tanto para las instituciones como para los usuarios. Esta sección examina las oportunidades para mejorar la prestación operativa del acceso a la información mediante una mayor integración digital, la mejora de los sistemas de gestión y protección de la información, y la consolidación de las plataformas existentes de transparencia y datos abiertos para respaldar prácticas de divulgación más proactivas, coherentes y accesibles.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ind w:left="720" w:firstLine="0"/>
        <w:rPr>
          <w:b w:val="1"/>
          <w:bCs w:val="1"/>
        </w:rPr>
      </w:pPr>
      <w:r w:rsidDel="00000000" w:rsidR="00000000" w:rsidRPr="00000000">
        <w:rPr>
          <w:b w:val="1"/>
          <w:bCs w:val="1"/>
          <w:rtl w:val="0"/>
        </w:rPr>
        <w:t xml:space="preserve">4.3.1. El uso del Portal Único de Solicitud de Acceso a la Información Pública (SAIP) podría ser obligatorio para todos los organismos públicos.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44. La República Dominicana ha logrado avances significativos con el establecimiento del Portal Único de Solicitud de Acceso a la Información Pública (SAIP), una plataforma digital centralizada que permite a los ciudadanos presentar solicitudes de acceso a la información a las instituciones públicas. El sistema también incorpora funciones de monitoreo, como alertas cuando una institución responde, y permite a los usuarios brindar retroalimentación sobre la calidad de las respuestas recibidas.</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45. Según las estadísticas actuales del SAIP, 376 instituciones públicas están conectadas a la plataforma. Sin embargo, a pesar de los esfuerzos de divulgación y capacitación de la DIGEIG, muchos organismos gubernamentales continúan recibiendo y procesando solicitudes fuera del SAIP, por correo electrónico, canales presenciales o sus propios sitios web institucionales. Para garantizar que todas las solicitudes de acceso a la información se procesen a través de un sistema único y rastreable, el marco legal podría exigir el uso exclusivo o principal del SAIP en todos los organismos públicos, ya sea mediante decreto ejecutivo o reforma estatutaria. Para ello, el proyecto de Ley Orgánica que crea la Superintendencia de Integridad, Transparencia y Ética Gubernamental sería un paso positivo, ya que define y establece el SAIP como la "ventanilla única a través de la cual las personas pueden solicitar información pública y dar seguimiento al estado de sus solicitudes, supervisar el cumplimiento de los plazos legales para apoyar la mejora continua en la calidad de las respuestas institucionales y, a su vez, permitir que los solicitantes evalúen su satisfacción con la respuesta e interactúen con el órgano rector, garantizando la trazabilidad en cada etapa del proceso".</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46. También existe margen para seguir mejorando la plataforma del SAIP. Al momento de redactar este informe, la DIGEIG ha desarrollado y publicado un panel de desempeño público en el portal del SAIP que muestra indicadores clave como el volumen de solicitudes y los casos finalizados. Sin embargo, la plataforma no reporta datos sobre los tiempos promedio de respuesta, el número y el estado de las apelaciones, los resultados de las apelaciones por institución ni la acumulación de casos sin resolver. La ausencia de estas métricas limita la transparencia y la capacidad de la DIGEIG para detectar incumplimientos o retrasos sistémicos en la administración pública. Además, en las estadísticas sobre los tipos de información solicitada, la gran mayoría de las solicitudes (más del 90%) se clasifican como "otros", lo que refleja una debilidad estructural en el marco de clasificación y presentación de informes. Esta excesiva dependencia de una categoría residual impide analizar los patrones de demanda, identificar áreas prioritarias o fortalecer las políticas proactivas de divulgación (Figura 4.6).</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b w:val="1"/>
          <w:bCs w:val="1"/>
          <w:color w:val="3c78d8"/>
        </w:rPr>
      </w:pPr>
      <w:r w:rsidDel="00000000" w:rsidR="00000000" w:rsidRPr="00000000">
        <w:rPr>
          <w:b w:val="1"/>
          <w:bCs w:val="1"/>
          <w:color w:val="3c78d8"/>
          <w:rtl w:val="0"/>
        </w:rPr>
        <w:t xml:space="preserve">Figura 4.6. Estadísticas publicadas por tipo de información solicitada en la plataforma SAIP</w:t>
      </w:r>
    </w:p>
    <w:p w:rsidR="00000000" w:rsidDel="00000000" w:rsidP="00000000" w:rsidRDefault="00000000" w:rsidRPr="00000000" w14:paraId="0000018C">
      <w:pPr>
        <w:rPr>
          <w:b w:val="1"/>
          <w:bCs w:val="1"/>
          <w:color w:val="3c78d8"/>
        </w:rPr>
      </w:pPr>
      <w:r w:rsidDel="00000000" w:rsidR="00000000" w:rsidRPr="00000000">
        <w:rPr>
          <w:rtl w:val="0"/>
        </w:rPr>
      </w:r>
    </w:p>
    <w:p w:rsidR="00000000" w:rsidDel="00000000" w:rsidP="00000000" w:rsidRDefault="00000000" w:rsidRPr="00000000" w14:paraId="0000018D">
      <w:pPr>
        <w:rPr>
          <w:b w:val="1"/>
          <w:bCs w:val="1"/>
          <w:color w:val="3c78d8"/>
        </w:rPr>
      </w:pPr>
      <w:r w:rsidDel="00000000" w:rsidR="00000000" w:rsidRPr="00000000">
        <w:rPr>
          <w:b w:val="1"/>
          <w:bCs w:val="1"/>
          <w:color w:val="3c78d8"/>
        </w:rPr>
        <w:drawing>
          <wp:inline distB="114300" distT="114300" distL="114300" distR="114300">
            <wp:extent cx="5943600" cy="1879600"/>
            <wp:effectExtent b="0" l="0" r="0" t="0"/>
            <wp:docPr id="4"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943600" cy="1879600"/>
                    </a:xfrm>
                    <a:prstGeom prst="rect"/>
                    <a:ln/>
                  </pic:spPr>
                </pic:pic>
              </a:graphicData>
            </a:graphic>
          </wp:inline>
        </w:drawing>
      </w:r>
      <w:r w:rsidDel="00000000" w:rsidR="00000000" w:rsidRPr="00000000">
        <w:rPr>
          <w:rtl w:val="0"/>
        </w:rPr>
      </w:r>
    </w:p>
    <w:p w:rsidR="00000000" w:rsidDel="00000000" w:rsidP="00000000" w:rsidRDefault="00000000" w:rsidRPr="00000000" w14:paraId="0000018E">
      <w:pPr>
        <w:rPr>
          <w:b w:val="1"/>
          <w:bCs w:val="1"/>
          <w:color w:val="3c78d8"/>
        </w:rPr>
      </w:pPr>
      <w:r w:rsidDel="00000000" w:rsidR="00000000" w:rsidRPr="00000000">
        <w:rPr>
          <w:rtl w:val="0"/>
        </w:rPr>
      </w:r>
    </w:p>
    <w:p w:rsidR="00000000" w:rsidDel="00000000" w:rsidP="00000000" w:rsidRDefault="00000000" w:rsidRPr="00000000" w14:paraId="0000018F">
      <w:pPr>
        <w:rPr>
          <w:sz w:val="18"/>
          <w:szCs w:val="18"/>
        </w:rPr>
      </w:pPr>
      <w:r w:rsidDel="00000000" w:rsidR="00000000" w:rsidRPr="00000000">
        <w:rPr>
          <w:sz w:val="18"/>
          <w:szCs w:val="18"/>
          <w:rtl w:val="0"/>
        </w:rPr>
        <w:t xml:space="preserve">Fuente:</w:t>
      </w:r>
      <w:hyperlink r:id="rId17">
        <w:r w:rsidDel="00000000" w:rsidR="00000000" w:rsidRPr="00000000">
          <w:rPr>
            <w:color w:val="1155cc"/>
            <w:sz w:val="18"/>
            <w:szCs w:val="18"/>
            <w:u w:val="single"/>
            <w:rtl w:val="0"/>
          </w:rPr>
          <w:t xml:space="preserve"> https://saip.gob.do/estadisticas-por-tipo-de-informacion</w:t>
        </w:r>
      </w:hyperlink>
      <w:r w:rsidDel="00000000" w:rsidR="00000000" w:rsidRPr="00000000">
        <w:rPr>
          <w:sz w:val="18"/>
          <w:szCs w:val="18"/>
          <w:rtl w:val="0"/>
        </w:rPr>
        <w:t xml:space="preserve"> (consultado en enero de 2026)</w:t>
      </w:r>
    </w:p>
    <w:p w:rsidR="00000000" w:rsidDel="00000000" w:rsidP="00000000" w:rsidRDefault="00000000" w:rsidRPr="00000000" w14:paraId="00000190">
      <w:pPr>
        <w:rPr>
          <w:sz w:val="18"/>
          <w:szCs w:val="18"/>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47. Se esperaba el lanzamiento de una nueva versión del portal SAIP para finales de 2025, con herramientas de seguimiento mejoradas </w:t>
      </w:r>
      <w:r w:rsidDel="00000000" w:rsidR="00000000" w:rsidRPr="00000000">
        <w:rPr>
          <w:highlight w:val="yellow"/>
          <w:rtl w:val="0"/>
        </w:rPr>
        <w:t xml:space="preserve">[Colegas dominicanos: ¿pueden confirmar si el SAIP actual es la nueva versión que se discutió en abril de 2025 durante la misión de investigación, o si esta nueva versión aún está en desarrollo?]</w:t>
      </w:r>
      <w:r w:rsidDel="00000000" w:rsidR="00000000" w:rsidRPr="00000000">
        <w:rPr>
          <w:rtl w:val="0"/>
        </w:rPr>
        <w:t xml:space="preserve">. En el marco del Compromiso 1 del Plan de Acción de la Alianza para el Gobierno Abierto (AGA) 2024-2028 de la República Dominicana, el gobierno también está desarrollando una herramienta digital basada en inteligencia artificial para centralizar y agilizar las solicitudes de acceso a la información. Esta iniciativa busca mejorar el ejercicio del derecho a la información reduciendo los tiempos de respuesta, aumentando la satisfacción del usuario, disminuyendo la tasa de solicitudes repetidas y facilitando consultas más rápidas y efectivas. Entre las características clave se incluyen funciones de búsqueda optimizadas para información pública y datos abiertos, la promoción de la creación y reutilización de conjuntos de datos, la adaptación de contenido para una mejor comprensión, análisis de rendimiento para fundamentar mejoras institucionales, sistemas de notificación, simulaciones de usuarios para evaluar la calidad de las respuestas y métricas de evaluación robustas. Al combinar la innovación tecnológica con mejoras en usabilidad y accesibilidad, el compromiso busca modernizar los sistemas de información pública, fortaleciendo al mismo tiempo la transparencia, la participación ciudadana y la rendición de cuentas </w:t>
      </w:r>
      <w:r w:rsidDel="00000000" w:rsidR="00000000" w:rsidRPr="00000000">
        <w:rPr>
          <w:highlight w:val="yellow"/>
          <w:rtl w:val="0"/>
        </w:rPr>
        <w:t xml:space="preserve">[Colegas dominicanos: ¿podrían brindar información actualizada sobre este compromiso?]</w:t>
      </w:r>
      <w:r w:rsidDel="00000000" w:rsidR="00000000" w:rsidRPr="00000000">
        <w:rPr>
          <w:rtl w:val="0"/>
        </w:rPr>
        <w:t xml:space="preserve"> (Gobierno de la República Dominicana, 2024 [17]).</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48. Se alienta a la DIGEIG a seguir mejorando la plataforma SAIP mediante la introducción de flujos de trabajo automatizados y la estandarización de los procedimientos internos para la tramitación de solicitudes de información, con el apoyo de directrices administrativas sobre plazos, formatos de respuesta, mantenimiento de registros y vías de apelación (de acuerdo con las recomendaciones para fortalecer el marco legal que se ofrecen en la sección 4.2). Para mejorar la calidad y el valor analítico de las estadísticas de acceso a la información, también podría revisarse el sistema de clasificación de la plataforma para que se ajuste mejor a las categorías establecidas en el artículo 3 de la Ley de Acceso a la Información (ATI). Como alternativa, la información actualmente clasificada en la categoría "Otros" podría analizarse con mayor profundidad para refinar y mejorar su clasificación, facilitando a las instituciones informantes y administrativas (IRA) la identificación de la información que deben publicar o proporcionar, en particular cuando la información no está sujeta a un enfoque de "apertura por defecto". Dicha categorización podría integrarse en la propia ley de acceso a la información o en su reglamento de aplicación para mejorar la claridad y la coherencia. Estas categorías más claras podrían complementarse con formación y orientación al personal, así como con ajustes técnicos para reducir la dependencia excesiva de la categoría "Otros". El fortalecimiento de este marco permitiría un seguimiento más preciso de las tendencias, una mejor identificación de las áreas prioritarias para la divulgación proactiva y un desarrollo de políticas más fundamentado y basado en la evidencia.</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ind w:left="720" w:firstLine="0"/>
        <w:rPr>
          <w:b w:val="1"/>
          <w:bCs w:val="1"/>
        </w:rPr>
      </w:pPr>
      <w:r w:rsidDel="00000000" w:rsidR="00000000" w:rsidRPr="00000000">
        <w:rPr>
          <w:b w:val="1"/>
          <w:bCs w:val="1"/>
          <w:rtl w:val="0"/>
        </w:rPr>
        <w:t xml:space="preserve">4.3.2. La República Dominicana podría garantizar la transparencia y la integridad mediante la aplicación de modelos y sistemas reconocidos internacionalmente para la gestión y protección de la información.</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49. En las últimas dos décadas, tanto la demanda de información como la capacidad tecnológica para crear, procesar y transmitir datos han aumentado significativamente a nivel mundial. Los gobiernos generan, registran, almacenan y difunden muchos más datos cada año que antes. Al mismo tiempo, las expectativas públicas de transparencia y acceso a la información han aumentado considerablemente. En respuesta, la mayoría de los marcos legales vigentes a nivel mundial que rigen el derecho de acceso a la información pública, así como las obligaciones de los países de divulgar información proactivamente, se adoptaron e implementaron durante este período. Esta ampliación de los derechos ciudadanos ha impulsado, a su vez, una mayor demanda de información pública, ejerciendo una mayor presión sobre la capacidad institucional y administrativa de los Estados para garantizar la transparencia de manera efectiva.</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50. Sin embargo, la rápida expansión de la generación e intercambio de información, sumada a las mayores expectativas de transparencia, también ha generado importantes desafíos internos para los países. Los documentos y archivos físicos ahora coexisten con los registros digitales, que son cada vez más reemplazados por ellos. Las entidades públicas han respondido a esta transición de maneras diversas y, a menudo, descoordinadas, lo que dificulta la gestión eficaz de documentos y datos y socava los esfuerzos para garantizar su accesibilidad, seguridad y conservación a largo plazo.</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51. Además, el cumplimiento efectivo de la legislación sobre transparencia y acceso a la información depende fundamentalmente de la calidad, fiabilidad y accesibilidad de los registros públicos. Cuando los documentos están mal organizados o gestionados en ausencia de un marco común y reconocido, las entidades públicas pueden enfrentar dificultades significativas para localizar la información que debe publicarse o divulgarse de forma proactiva cuando se les solicite. Esto, a su vez, puede obstaculizar el cumplimiento de los plazos legales, socavando la capacidad de las instituciones públicas para cumplir con sus obligaciones con la ciudadanía. Además, una gestión inadecuada de los registros puede impedir la verificación de la autenticidad e integridad de la información, lo que podría afectar los derechos de terceros y debilitar la rendición de cuentas de los funcionarios públicos.</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52. La República Dominicana no es una excepción a esta dinámica. Actualmente, el gobierno carece de modelos estandarizados para organizar los registros y documentos públicos de manera que faciliten el acceso oportuno a la información y el procesamiento integral de los datos. La misión de investigación que sustenta este Estudio de Integridad reveló que las entidades públicas, e incluso los órganos centrales de supervisión, frecuentemente enfrentan dificultades para acceder a su propia información, gestionar expedientes de quejas e investigaciones, y procesar datos estadísticos relacionados con sus actividades. Además, las solicitudes ciudadanas de acceso a la información pública ejercen mayor presión sobre las instituciones públicas para que entreguen la información dentro de los plazos legales. Como resultado, los organismos responsables de las auditorías internas y externas, la tramitación de quejas, las investigaciones y la rendición de cuentas probablemente enfrenten obstáculos significativos para cumplir con sus mandatos, incluso cuando exista la autoridad legal adecuada.</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53. Esta situación subraya la necesidad de que la República Dominicana gestione sus documentos, archivos y datos relacionados con la integridad de manera eficaz y oportuna mediante la implementación de modelos robustos de gestión de registros. Un sistema de gestión de registros (SGR) se centra en la organización sistemática y la gestión del ciclo de vida de los documentos para mejorar la eficiencia, la rendición de cuentas y el cumplimiento legal. Una gestión eficaz de registros permite a las organizaciones estructurar la documentación administrativa de forma consistente y coherente, agilizando así la prestación de servicios y facilitando procedimientos que, de otro modo, requerirían una cantidad considerable de tiempo y recursos. En el sector público, estos sistemas son especialmente importantes dado el creciente volumen de documentos, información y datos que las entidades públicas reciben, procesan y conservan. Normas internacionales como la ISO 15489 para la gestión de registros podrían ser valiosas para la República Dominicana a la hora de definir modelos robustos de gestión de registros en toda la administración pública o en sectores específicos. La ISO 15489 establece principios y directrices para la creación, captura, control, uso, conservación y disposición de registros. Su objetivo es garantizar que los registros se mantengan auténticos, fiables e intactos durante todo su ciclo de vida, tanto en formato físico como digital, y se aplica ampliamente en jurisdicciones de todo el mundo.</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54. Otro elemento que debe considerarse es la protección de datos. En el ámbito de la integridad pública, ciertos mecanismos y procesos requieren niveles especialmente altos de información y protección de datos, en particular los relacionados con la denuncia, la investigación y la imposición de sanciones. Los mecanismos de denuncia implican la recopilación de información sobre presuntos infractores, colaboradores, testigos y denunciantes. Los procesos de investigación generan y conservan pruebas, además de identificar información sobre testigos, autores, cómplices, encubridores y posibles víctimas. Esta información es altamente sensible y su divulgación a terceros no autorizados podría comprometer las denuncias o las investigaciones y poner en peligro el empleo, la seguridad o la protección de denunciantes, investigadores y testigos.</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55. Si bien un SGR contribuye a la organización y protección de la información mediante controles de acceso, gestión del ciclo de vida, trazabilidad, copias de seguridad y clasificación, estos contextos requieren salvaguardias adicionales, coherentes con un marco integral de gestión de la seguridad de la información. Este marco abarca políticas, procedimientos y medidas técnicas diseñadas para proteger los activos de información de una organización, tanto físicos como digitales, del acceso no autorizado, el uso indebido, la alteración o la destrucción. Los activos de información incluyen cualquier recurso valioso para una organización y, por lo tanto, que requiera protección, como datos (en formato digital o de otro tipo), software, hardware (incluidos servidores), bases de datos, documentos y conocimiento institucional en poder del personal. El objetivo general de estas medidas es garantizar la confidencialidad, integridad y disponibilidad de la información.</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56. La norma internacional más reconocida en este ámbito es la ISO 27001, que especifica los requisitos de un Sistema de Gestión de la Seguridad de la Información (SGSI). Esta norma proporciona un marco integral aplicable a organizaciones de todos los tamaños y sectores, tanto públicos como privados, para proteger los activos de información sensibles, gestionar los riesgos de ciberseguridad y cumplir con los requisitos legales y de buenas prácticas. También establece directrices para establecer, implementar, mantener y mejorar continuamente un SGSI. La adopción de la norma ISO 27001 se recomienda especialmente a las organizaciones que gestionan activos de información de alto valor o sensibles. Dado que una de las principales responsabilidades del Estado es proteger los derechos individuales y satisfacer las necesidades públicas, los gobiernos gestionan habitualmente grandes volúmenes de información, entre los cuales los datos relacionados con la integridad pública requieren una mayor protección. Por lo tanto, la República Dominicana podría adoptar modelos compatibles y complementarios que fortalezcan la transparencia, la gestión de la información y el acceso a la información pública, y garanticen la protección efectiva de los datos sensibles, incluida la información relacionada con la integridad pública.</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ind w:left="720" w:firstLine="0"/>
        <w:rPr>
          <w:b w:val="1"/>
          <w:bCs w:val="1"/>
        </w:rPr>
      </w:pPr>
      <w:r w:rsidDel="00000000" w:rsidR="00000000" w:rsidRPr="00000000">
        <w:rPr>
          <w:b w:val="1"/>
          <w:bCs w:val="1"/>
          <w:rtl w:val="0"/>
        </w:rPr>
        <w:t xml:space="preserve">4.3.3. La República Dominicana podría centralizar ciertas plataformas de datos abiertos existentes en una Plataforma Nacional de Transparencia unificada que actúe como un repositorio único para el acceso a la información, la transparencia institucional y los datos abiertos.</w:t>
      </w:r>
    </w:p>
    <w:p w:rsidR="00000000" w:rsidDel="00000000" w:rsidP="00000000" w:rsidRDefault="00000000" w:rsidRPr="00000000" w14:paraId="000001A8">
      <w:pPr>
        <w:ind w:left="720" w:firstLine="0"/>
        <w:rPr/>
      </w:pPr>
      <w:r w:rsidDel="00000000" w:rsidR="00000000" w:rsidRPr="00000000">
        <w:rPr>
          <w:rtl w:val="0"/>
        </w:rPr>
      </w:r>
    </w:p>
    <w:p w:rsidR="00000000" w:rsidDel="00000000" w:rsidP="00000000" w:rsidRDefault="00000000" w:rsidRPr="00000000" w14:paraId="000001A9">
      <w:pPr>
        <w:ind w:left="720" w:firstLine="0"/>
        <w:rPr/>
      </w:pPr>
      <w:r w:rsidDel="00000000" w:rsidR="00000000" w:rsidRPr="00000000">
        <w:rPr>
          <w:rtl w:val="0"/>
        </w:rPr>
      </w:r>
    </w:p>
    <w:p w:rsidR="00000000" w:rsidDel="00000000" w:rsidP="00000000" w:rsidRDefault="00000000" w:rsidRPr="00000000" w14:paraId="000001AA">
      <w:pPr>
        <w:ind w:left="0" w:firstLine="0"/>
        <w:rPr/>
      </w:pPr>
      <w:r w:rsidDel="00000000" w:rsidR="00000000" w:rsidRPr="00000000">
        <w:rPr>
          <w:rtl w:val="0"/>
        </w:rPr>
        <w:t xml:space="preserve">57. En la República Dominicana, la necesidad de divulgar información de forma proactiva se ha consagrado en la Ley de Acceso a la Información (Artículo 3). Esto la alinea con la mayoría de los países de la OCDE, que proporcionan una lista de la información divulgada de forma proactiva por los gobiernos centrales/federales, según lo estipulado en la ley o en cualquier otro marco legal de los países encuestados. El país gestiona actualmente su ecosistema de transparencia y gobierno abierto a través de diversas plataformas digitales. Estas incluyen el portal SAIP para la presentación de solicitudes de acceso a la información (https://saip.gob.do), el portal de datos abiertos (</w:t>
      </w:r>
      <w:hyperlink r:id="rId18">
        <w:r w:rsidDel="00000000" w:rsidR="00000000" w:rsidRPr="00000000">
          <w:rPr>
            <w:color w:val="1155cc"/>
            <w:u w:val="single"/>
            <w:rtl w:val="0"/>
          </w:rPr>
          <w:t xml:space="preserve">https://datos.gob.do</w:t>
        </w:r>
      </w:hyperlink>
      <w:r w:rsidDel="00000000" w:rsidR="00000000" w:rsidRPr="00000000">
        <w:rPr>
          <w:rtl w:val="0"/>
        </w:rPr>
        <w:t xml:space="preserve">), los sitios web institucionales de transparencia, mantenidos por separado por cada ministerio u organismo (por ejemplo, </w:t>
      </w:r>
      <w:hyperlink r:id="rId19">
        <w:r w:rsidDel="00000000" w:rsidR="00000000" w:rsidRPr="00000000">
          <w:rPr>
            <w:color w:val="1155cc"/>
            <w:u w:val="single"/>
            <w:rtl w:val="0"/>
          </w:rPr>
          <w:t xml:space="preserve">transparencia.pgr.gob.do</w:t>
        </w:r>
      </w:hyperlink>
      <w:r w:rsidDel="00000000" w:rsidR="00000000" w:rsidRPr="00000000">
        <w:rPr>
          <w:rtl w:val="0"/>
        </w:rPr>
        <w:t xml:space="preserve">) y el portal de la Alianza para el Gobierno Abierto (AGA) (</w:t>
      </w:r>
      <w:hyperlink r:id="rId20">
        <w:r w:rsidDel="00000000" w:rsidR="00000000" w:rsidRPr="00000000">
          <w:rPr>
            <w:color w:val="1155cc"/>
            <w:u w:val="single"/>
            <w:rtl w:val="0"/>
          </w:rPr>
          <w:t xml:space="preserve">https://gobiernoabierto.gob.do</w:t>
        </w:r>
      </w:hyperlink>
      <w:r w:rsidDel="00000000" w:rsidR="00000000" w:rsidRPr="00000000">
        <w:rPr>
          <w:rtl w:val="0"/>
        </w:rPr>
        <w:t xml:space="preserve">), que describe los compromisos nacionales de gobierno abierto y los mecanismos de participación. Si bien cada plataforma cumple una función importante, funcionan de forma independiente, sin navegación cruzada, integración de datos ni supervisión centralizada del desempeño (Tabla 4.3).</w:t>
        <w:tab/>
      </w:r>
    </w:p>
    <w:p w:rsidR="00000000" w:rsidDel="00000000" w:rsidP="00000000" w:rsidRDefault="00000000" w:rsidRPr="00000000" w14:paraId="000001AB">
      <w:pPr>
        <w:ind w:left="720" w:firstLine="0"/>
        <w:rPr/>
      </w:pPr>
      <w:r w:rsidDel="00000000" w:rsidR="00000000" w:rsidRPr="00000000">
        <w:rPr>
          <w:rtl w:val="0"/>
        </w:rPr>
      </w:r>
    </w:p>
    <w:p w:rsidR="00000000" w:rsidDel="00000000" w:rsidP="00000000" w:rsidRDefault="00000000" w:rsidRPr="00000000" w14:paraId="000001AC">
      <w:pPr>
        <w:ind w:left="0" w:firstLine="0"/>
        <w:rPr>
          <w:b w:val="1"/>
          <w:bCs w:val="1"/>
          <w:color w:val="3c78d8"/>
        </w:rPr>
      </w:pPr>
      <w:r w:rsidDel="00000000" w:rsidR="00000000" w:rsidRPr="00000000">
        <w:rPr>
          <w:b w:val="1"/>
          <w:bCs w:val="1"/>
          <w:color w:val="3c78d8"/>
          <w:rtl w:val="0"/>
        </w:rPr>
        <w:t xml:space="preserve">Tabla 4.3. Portales de gobierno abierto existentes en República Dominicana</w:t>
      </w:r>
    </w:p>
    <w:p w:rsidR="00000000" w:rsidDel="00000000" w:rsidP="00000000" w:rsidRDefault="00000000" w:rsidRPr="00000000" w14:paraId="000001AD">
      <w:pPr>
        <w:ind w:left="0" w:firstLine="0"/>
        <w:rPr>
          <w:b w:val="1"/>
          <w:bCs w:val="1"/>
          <w:color w:val="3c78d8"/>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3120"/>
        <w:gridCol w:w="2715"/>
        <w:tblGridChange w:id="0">
          <w:tblGrid>
            <w:gridCol w:w="3525"/>
            <w:gridCol w:w="3120"/>
            <w:gridCol w:w="27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Propósito y Contenido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Incluye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rPr/>
            </w:pPr>
            <w:hyperlink r:id="rId21">
              <w:r w:rsidDel="00000000" w:rsidR="00000000" w:rsidRPr="00000000">
                <w:rPr>
                  <w:color w:val="1155cc"/>
                  <w:u w:val="single"/>
                  <w:rtl w:val="0"/>
                </w:rPr>
                <w:t xml:space="preserve">https://transparencia.gob.do/index</w:t>
              </w:r>
            </w:hyperlink>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t xml:space="preserve">Sitio web nacional genérico de transparencia; aún no es un centro centralizado completamente funcional (Portal Único de Transparencia)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No está operativo como portal unificado y se encuentra en revisión al momento de redactar este documento. El portal está destinado a servir como el portal oficial de transparencia activa para la publicación de toda la información pública sujeta a divulgación obligatoria de conformidad con la Ley General de Libre Acceso a la Información Pública. Anteriormente contenía un contenido mínimo y actuaba como un marcador de posición o plantilla.</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rPr/>
            </w:pPr>
            <w:hyperlink r:id="rId22">
              <w:r w:rsidDel="00000000" w:rsidR="00000000" w:rsidRPr="00000000">
                <w:rPr>
                  <w:color w:val="1155cc"/>
                  <w:u w:val="single"/>
                  <w:rtl w:val="0"/>
                </w:rPr>
                <w:t xml:space="preserve">https://gobiernoabierto.gob.do/</w:t>
              </w:r>
            </w:hyperlink>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t xml:space="preserve">Centro Nacional de Gobierno Abierto, central para las actividades relacionadas con la AGA y los planes de gobernanza abierta (Portal de Gobierno Abierto)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t xml:space="preserve">Información sobre Planes de Acción de Gobierno Abierto, mecanismos de participación pública, detalles del foro multiactor</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hyperlink r:id="rId23">
              <w:r w:rsidDel="00000000" w:rsidR="00000000" w:rsidRPr="00000000">
                <w:rPr>
                  <w:color w:val="1155cc"/>
                  <w:u w:val="single"/>
                  <w:rtl w:val="0"/>
                </w:rPr>
                <w:t xml:space="preserve">https://datos.gob.do/</w:t>
              </w:r>
            </w:hyperlink>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rPr/>
            </w:pPr>
            <w:r w:rsidDel="00000000" w:rsidR="00000000" w:rsidRPr="00000000">
              <w:rPr>
                <w:rtl w:val="0"/>
              </w:rPr>
              <w:t xml:space="preserve">Portal Nacional de Datos Abiertos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t xml:space="preserve">Portal oficial de datos abiertos del Gobierno de la República Dominicana, a través del cual las entidades públicas publican sus datos en formatos de datos abiertos. Contiene un catálogo de conjuntos de datos legibles por máquina de instituciones públicas</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rPr/>
            </w:pPr>
            <w:hyperlink r:id="rId24">
              <w:r w:rsidDel="00000000" w:rsidR="00000000" w:rsidRPr="00000000">
                <w:rPr>
                  <w:color w:val="1155cc"/>
                  <w:u w:val="single"/>
                  <w:rtl w:val="0"/>
                </w:rPr>
                <w:t xml:space="preserve">https://saip.gob.do/</w:t>
              </w:r>
            </w:hyperlink>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Portal Único de Solicitud de Acceso a la Información 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t xml:space="preserve">Plataforma centralizada donde los ciudadanos pueden enviar solicitudes de Aali directamente a las autoridades públicas responsables.</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rPr/>
            </w:pPr>
            <w:r w:rsidDel="00000000" w:rsidR="00000000" w:rsidRPr="00000000">
              <w:rPr>
                <w:rtl w:val="0"/>
              </w:rPr>
              <w:t xml:space="preserve">Portales de transparencia institucional, por ejemplo, </w:t>
            </w:r>
            <w:hyperlink r:id="rId25">
              <w:r w:rsidDel="00000000" w:rsidR="00000000" w:rsidRPr="00000000">
                <w:rPr>
                  <w:color w:val="1155cc"/>
                  <w:u w:val="single"/>
                  <w:rtl w:val="0"/>
                </w:rPr>
                <w:t xml:space="preserve">https://transparencia.hacienda.gob.do/</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t xml:space="preserve">Sitios web de transparencia institucional mantenidos por separado por cada ministerio o agencia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rPr/>
            </w:pPr>
            <w:r w:rsidDel="00000000" w:rsidR="00000000" w:rsidRPr="00000000">
              <w:rPr>
                <w:rtl w:val="0"/>
              </w:rPr>
              <w:t xml:space="preserve">Marcos legales institucionales, contratos, informes, datos de integridad, ocasionalmente enlaces de datos abiertos, datos en cumplimiento con la Ley 20004 y su reglamento</w:t>
            </w:r>
          </w:p>
        </w:tc>
      </w:tr>
    </w:tbl>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sz w:val="18"/>
          <w:szCs w:val="18"/>
        </w:rPr>
      </w:pPr>
      <w:r w:rsidDel="00000000" w:rsidR="00000000" w:rsidRPr="00000000">
        <w:rPr>
          <w:sz w:val="18"/>
          <w:szCs w:val="18"/>
          <w:rtl w:val="0"/>
        </w:rPr>
        <w:t xml:space="preserve">Fuente: Secretaría de la OCDE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58. Esta fragmentación reduce la accesibilidad y la usabilidad para la ciudadanía y limita el potencial de la transparencia como herramienta para la rendición de cuentas y la participación ciudadana. Los usuarios deben navegar por múltiples sitios web para obtener información sobre solicitudes de acceso a la información, divulgaciones proactivas, conjuntos de datos u oportunidades de participación, encontrando a menudo formatos inconsistentes e información incompleta o dispersa. Por ejemplo, si bien la DIGEIG realiza evaluaciones mensuales del Índice de Transparencia Estandarizado (ITE) en más de 180 instituciones públicas, los resultados no se publican de forma consistente ni centralizada. En la práctica, solo la puntuación de la DIGEIG está disponible sistemáticamente en su portal de transparencia, mientras que los resultados de otras instituciones se encuentran dispersos en archivos PDF, informes anuales de la Memoria Institucional o comunicados de prensa aislados. Esto limita la supervisión pública y la evaluación comparativa, lo que dificulta el seguimiento de las tendencias de cumplimiento o el desempeño a lo largo del tiempo. Consolidar y sistematizar el acceso a estas evaluaciones fortalecería la rendición de cuentas e incentivaría mejoras en el desempeño en toda la administración.</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59. El proyecto de Ley Orgánica que crea la Superintendencia de Integridad, Transparencia y Ética Gubernamental (SITEG) podría contribuir a abordar parte de esta fragmentación al designar formalmente a la SITEG como el organismo responsable de administrar el Portal Único de Solicitudes de Acceso a la Información Pública (SAIP), el Portal Único de Transparencia, el Portal Nacional de Datos Abiertos y el Portal Nacional de Gobierno Abierto. Además, la SITEG sería responsable de regular la publicación, el uso y la reutilización de datos públicos en formatos abiertos, coordinar la Comisión Nacional de Datos Abiertos, promover el gobierno abierto y supervisar el cumplimiento de los estándares de publicación de transparencia en los portales institucionales (Artículo 19).</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60. Con base en este marco legal, la República Dominicana podría simplificar y fortalecer aún más esta arquitectura y mejorar el acceso. Si bien el portal de la Alianza para el Gobierno Abierto (AGA) podría mantener su propia identidad institucional, podría vincularse adecuadamente con el marco de acceso a la información mediante la publicación proactiva de los Planes de Acción Nacionales de la Alianza para el Gobierno Abierto como parte del conjunto más amplio de información divulgada proactivamente. Para los sitios web gubernamentales, el gobierno dominicano podría desarrollar un portal integral que integre las plataformas existentes y avance hacia un ecosistema de gobierno abierto. Este portal nacional de transparencia serviría como centro neurálgico y permitiría a los usuarios: (i) presentar y dar seguimiento a las solicitudes de acceso a la información, (ii) consultar datos en tiempo real sobre el cumplimiento institucional con la ITE, (iii) navegar y comparar el contenido de transparencia institucional entre ministerios y organismos públicos, (iv) acceder y reutilizar conjuntos de datos del portal de datos abiertos, y (v) monitorear el progreso de los compromisos del Plan de Acción de Gobierno Abierto y acceder fácilmente a las páginas de consulta pública. El portal podría basarse en la arquitectura existente de SAIP y datos.gob.do, con módulos adicionales y capas de interoperabilidad que se irán añadiendo con el tiempo.</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61. Si bien los gobiernos de la OCDE tienen diferentes enfoques para la divulgación de información, es una práctica común centralizar la publicación en un único portal que también funcione como plataforma de datos abiertos. Independientemente del modelo adoptado, la prioridad debe ser garantizar la accesibilidad y usabilidad de estas herramientas para que todos los ciudadanos puedan localizar y utilizar fácilmente la información disponible. Algunos ejemplos incluyen el Portal de Gobierno Abierto de Canadá y el Portal de Transparencia de Brasil, que se muestran en la Figura 4.2.</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b w:val="1"/>
          <w:bCs w:val="1"/>
          <w:color w:val="3c78d8"/>
        </w:rPr>
      </w:pPr>
      <w:r w:rsidDel="00000000" w:rsidR="00000000" w:rsidRPr="00000000">
        <w:rPr>
          <w:b w:val="1"/>
          <w:bCs w:val="1"/>
          <w:color w:val="3c78d8"/>
          <w:rtl w:val="0"/>
        </w:rPr>
        <w:t xml:space="preserve">Figura 4.7. Portal de Gobierno Abierto de Canadá y Portal de Transparencia de Brasil</w:t>
      </w:r>
    </w:p>
    <w:p w:rsidR="00000000" w:rsidDel="00000000" w:rsidP="00000000" w:rsidRDefault="00000000" w:rsidRPr="00000000" w14:paraId="000001D6">
      <w:pPr>
        <w:rPr>
          <w:b w:val="1"/>
          <w:bCs w:val="1"/>
          <w:color w:val="3c78d8"/>
        </w:rPr>
      </w:pPr>
      <w:r w:rsidDel="00000000" w:rsidR="00000000" w:rsidRPr="00000000">
        <w:rPr>
          <w:rtl w:val="0"/>
        </w:rPr>
      </w:r>
    </w:p>
    <w:p w:rsidR="00000000" w:rsidDel="00000000" w:rsidP="00000000" w:rsidRDefault="00000000" w:rsidRPr="00000000" w14:paraId="000001D7">
      <w:pPr>
        <w:rPr/>
      </w:pPr>
      <w:r w:rsidDel="00000000" w:rsidR="00000000" w:rsidRPr="00000000">
        <w:rPr/>
        <w:drawing>
          <wp:inline distB="114300" distT="114300" distL="114300" distR="114300">
            <wp:extent cx="5943600" cy="5029200"/>
            <wp:effectExtent b="0" l="0" r="0" t="0"/>
            <wp:docPr id="3" name="image4.png"/>
            <a:graphic>
              <a:graphicData uri="http://schemas.openxmlformats.org/drawingml/2006/picture">
                <pic:pic>
                  <pic:nvPicPr>
                    <pic:cNvPr id="0" name="image4.png"/>
                    <pic:cNvPicPr preferRelativeResize="0"/>
                  </pic:nvPicPr>
                  <pic:blipFill>
                    <a:blip r:embed="rId26"/>
                    <a:srcRect b="0" l="0" r="0" t="0"/>
                    <a:stretch>
                      <a:fillRect/>
                    </a:stretch>
                  </pic:blipFill>
                  <pic:spPr>
                    <a:xfrm>
                      <a:off x="0" y="0"/>
                      <a:ext cx="5943600" cy="5029200"/>
                    </a:xfrm>
                    <a:prstGeom prst="rect"/>
                    <a:ln/>
                  </pic:spPr>
                </pic:pic>
              </a:graphicData>
            </a:graphic>
          </wp:inline>
        </w:drawing>
      </w: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b w:val="1"/>
          <w:bCs w:val="1"/>
          <w:color w:val="3c78d8"/>
        </w:rPr>
      </w:pPr>
      <w:r w:rsidDel="00000000" w:rsidR="00000000" w:rsidRPr="00000000">
        <w:rPr>
          <w:b w:val="1"/>
          <w:bCs w:val="1"/>
          <w:color w:val="3c78d8"/>
          <w:rtl w:val="0"/>
        </w:rPr>
        <w:t xml:space="preserve">4.4. Propuestas de acción</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rPr>
            </w:pPr>
            <w:r w:rsidDel="00000000" w:rsidR="00000000" w:rsidRPr="00000000">
              <w:rPr>
                <w:b w:val="1"/>
                <w:bCs w:val="1"/>
                <w:rtl w:val="0"/>
              </w:rPr>
              <w:t xml:space="preserve">Fortalecimiento de las condiciones legales, institucionales y operativas para un acceso efectivo a la información</w:t>
            </w:r>
          </w:p>
          <w:p w:rsidR="00000000" w:rsidDel="00000000" w:rsidP="00000000" w:rsidRDefault="00000000" w:rsidRPr="00000000" w14:paraId="000001DD">
            <w:pPr>
              <w:widowControl w:val="0"/>
              <w:spacing w:line="240" w:lineRule="auto"/>
              <w:rPr/>
            </w:pPr>
            <w:r w:rsidDel="00000000" w:rsidR="00000000" w:rsidRPr="00000000">
              <w:rPr>
                <w:rtl w:val="0"/>
              </w:rPr>
            </w:r>
          </w:p>
          <w:p w:rsidR="00000000" w:rsidDel="00000000" w:rsidP="00000000" w:rsidRDefault="00000000" w:rsidRPr="00000000" w14:paraId="000001DE">
            <w:pPr>
              <w:widowControl w:val="0"/>
              <w:numPr>
                <w:ilvl w:val="0"/>
                <w:numId w:val="2"/>
              </w:numPr>
              <w:spacing w:line="240" w:lineRule="auto"/>
              <w:ind w:left="720" w:hanging="360"/>
              <w:rPr>
                <w:u w:val="none"/>
              </w:rPr>
            </w:pPr>
            <w:r w:rsidDel="00000000" w:rsidR="00000000" w:rsidRPr="00000000">
              <w:rPr>
                <w:rtl w:val="0"/>
              </w:rPr>
              <w:t xml:space="preserve">La República Dominicana podría considerar consagrar en la legislación primaria el principio de que los datos gubernamentales son "abiertos por defecto".</w:t>
            </w:r>
          </w:p>
          <w:p w:rsidR="00000000" w:rsidDel="00000000" w:rsidP="00000000" w:rsidRDefault="00000000" w:rsidRPr="00000000" w14:paraId="000001DF">
            <w:pPr>
              <w:widowControl w:val="0"/>
              <w:spacing w:line="240" w:lineRule="auto"/>
              <w:ind w:left="720" w:firstLine="0"/>
              <w:rPr/>
            </w:pPr>
            <w:r w:rsidDel="00000000" w:rsidR="00000000" w:rsidRPr="00000000">
              <w:rPr>
                <w:rtl w:val="0"/>
              </w:rPr>
            </w:r>
          </w:p>
          <w:p w:rsidR="00000000" w:rsidDel="00000000" w:rsidP="00000000" w:rsidRDefault="00000000" w:rsidRPr="00000000" w14:paraId="000001E0">
            <w:pPr>
              <w:widowControl w:val="0"/>
              <w:numPr>
                <w:ilvl w:val="0"/>
                <w:numId w:val="2"/>
              </w:numPr>
              <w:spacing w:line="240" w:lineRule="auto"/>
              <w:ind w:left="720" w:hanging="360"/>
              <w:rPr>
                <w:u w:val="none"/>
              </w:rPr>
            </w:pPr>
            <w:r w:rsidDel="00000000" w:rsidR="00000000" w:rsidRPr="00000000">
              <w:rPr>
                <w:rtl w:val="0"/>
              </w:rPr>
              <w:t xml:space="preserve">La Ley n.° 200-04 podría modificarse para establecer procedimientos más claros para la tramitación de recursos externos en relación con la divulgación reactiva de información.</w:t>
            </w:r>
          </w:p>
          <w:p w:rsidR="00000000" w:rsidDel="00000000" w:rsidP="00000000" w:rsidRDefault="00000000" w:rsidRPr="00000000" w14:paraId="000001E1">
            <w:pPr>
              <w:widowControl w:val="0"/>
              <w:spacing w:line="240" w:lineRule="auto"/>
              <w:ind w:left="720" w:firstLine="0"/>
              <w:rPr/>
            </w:pPr>
            <w:r w:rsidDel="00000000" w:rsidR="00000000" w:rsidRPr="00000000">
              <w:rPr>
                <w:rtl w:val="0"/>
              </w:rPr>
            </w:r>
          </w:p>
          <w:p w:rsidR="00000000" w:rsidDel="00000000" w:rsidP="00000000" w:rsidRDefault="00000000" w:rsidRPr="00000000" w14:paraId="000001E2">
            <w:pPr>
              <w:widowControl w:val="0"/>
              <w:numPr>
                <w:ilvl w:val="0"/>
                <w:numId w:val="2"/>
              </w:numPr>
              <w:spacing w:line="240" w:lineRule="auto"/>
              <w:ind w:left="720" w:hanging="360"/>
              <w:rPr>
                <w:u w:val="none"/>
              </w:rPr>
            </w:pPr>
            <w:r w:rsidDel="00000000" w:rsidR="00000000" w:rsidRPr="00000000">
              <w:rPr>
                <w:rtl w:val="0"/>
              </w:rPr>
              <w:t xml:space="preserve">La supervisión de la Ley n.° 200-04 sobre acceso a la información podría encomendarse a una autoridad supervisora ​​con independencia funcional y facultades formales para recibir quejas, revisar denegaciones y emitir decisiones vinculantes.</w:t>
            </w:r>
          </w:p>
          <w:p w:rsidR="00000000" w:rsidDel="00000000" w:rsidP="00000000" w:rsidRDefault="00000000" w:rsidRPr="00000000" w14:paraId="000001E3">
            <w:pPr>
              <w:widowControl w:val="0"/>
              <w:spacing w:line="240" w:lineRule="auto"/>
              <w:rPr/>
            </w:pPr>
            <w:r w:rsidDel="00000000" w:rsidR="00000000" w:rsidRPr="00000000">
              <w:rPr>
                <w:rtl w:val="0"/>
              </w:rPr>
            </w:r>
          </w:p>
          <w:p w:rsidR="00000000" w:rsidDel="00000000" w:rsidP="00000000" w:rsidRDefault="00000000" w:rsidRPr="00000000" w14:paraId="000001E4">
            <w:pPr>
              <w:widowControl w:val="0"/>
              <w:spacing w:line="240" w:lineRule="auto"/>
              <w:rPr>
                <w:b w:val="1"/>
                <w:bCs w:val="1"/>
              </w:rPr>
            </w:pPr>
            <w:r w:rsidDel="00000000" w:rsidR="00000000" w:rsidRPr="00000000">
              <w:rPr>
                <w:b w:val="1"/>
                <w:bCs w:val="1"/>
                <w:rtl w:val="0"/>
              </w:rPr>
              <w:t xml:space="preserve">Fortalecimiento de la transparencia mediante datos abiertos e integración digital</w:t>
            </w:r>
          </w:p>
          <w:p w:rsidR="00000000" w:rsidDel="00000000" w:rsidP="00000000" w:rsidRDefault="00000000" w:rsidRPr="00000000" w14:paraId="000001E5">
            <w:pPr>
              <w:widowControl w:val="0"/>
              <w:spacing w:line="240" w:lineRule="auto"/>
              <w:rPr/>
            </w:pPr>
            <w:r w:rsidDel="00000000" w:rsidR="00000000" w:rsidRPr="00000000">
              <w:rPr>
                <w:rtl w:val="0"/>
              </w:rPr>
            </w:r>
          </w:p>
          <w:p w:rsidR="00000000" w:rsidDel="00000000" w:rsidP="00000000" w:rsidRDefault="00000000" w:rsidRPr="00000000" w14:paraId="000001E6">
            <w:pPr>
              <w:widowControl w:val="0"/>
              <w:numPr>
                <w:ilvl w:val="0"/>
                <w:numId w:val="3"/>
              </w:numPr>
              <w:spacing w:line="240" w:lineRule="auto"/>
              <w:ind w:left="720" w:hanging="360"/>
              <w:rPr>
                <w:u w:val="none"/>
              </w:rPr>
            </w:pPr>
            <w:r w:rsidDel="00000000" w:rsidR="00000000" w:rsidRPr="00000000">
              <w:rPr>
                <w:rtl w:val="0"/>
              </w:rPr>
              <w:t xml:space="preserve">El uso del Portal Único de Solicitud de Acceso a la Información Pública podría ser obligatorio para todos los organismos públicos.</w:t>
            </w:r>
          </w:p>
          <w:p w:rsidR="00000000" w:rsidDel="00000000" w:rsidP="00000000" w:rsidRDefault="00000000" w:rsidRPr="00000000" w14:paraId="000001E7">
            <w:pPr>
              <w:widowControl w:val="0"/>
              <w:spacing w:line="240" w:lineRule="auto"/>
              <w:ind w:left="720" w:firstLine="0"/>
              <w:rPr/>
            </w:pPr>
            <w:r w:rsidDel="00000000" w:rsidR="00000000" w:rsidRPr="00000000">
              <w:rPr>
                <w:rtl w:val="0"/>
              </w:rPr>
            </w:r>
          </w:p>
          <w:p w:rsidR="00000000" w:rsidDel="00000000" w:rsidP="00000000" w:rsidRDefault="00000000" w:rsidRPr="00000000" w14:paraId="000001E8">
            <w:pPr>
              <w:widowControl w:val="0"/>
              <w:numPr>
                <w:ilvl w:val="0"/>
                <w:numId w:val="3"/>
              </w:numPr>
              <w:spacing w:line="240" w:lineRule="auto"/>
              <w:ind w:left="720" w:hanging="360"/>
              <w:rPr>
                <w:u w:val="none"/>
              </w:rPr>
            </w:pPr>
            <w:r w:rsidDel="00000000" w:rsidR="00000000" w:rsidRPr="00000000">
              <w:rPr>
                <w:rtl w:val="0"/>
              </w:rPr>
              <w:t xml:space="preserve">La República Dominicana podría garantizar la transparencia y la integridad aplicando modelos y sistemas reconocidos internacionalmente para la gestión y protección de la información.  </w:t>
            </w:r>
          </w:p>
          <w:p w:rsidR="00000000" w:rsidDel="00000000" w:rsidP="00000000" w:rsidRDefault="00000000" w:rsidRPr="00000000" w14:paraId="000001E9">
            <w:pPr>
              <w:widowControl w:val="0"/>
              <w:spacing w:line="240" w:lineRule="auto"/>
              <w:ind w:left="720" w:firstLine="0"/>
              <w:rPr/>
            </w:pPr>
            <w:r w:rsidDel="00000000" w:rsidR="00000000" w:rsidRPr="00000000">
              <w:rPr>
                <w:rtl w:val="0"/>
              </w:rPr>
            </w:r>
          </w:p>
          <w:p w:rsidR="00000000" w:rsidDel="00000000" w:rsidP="00000000" w:rsidRDefault="00000000" w:rsidRPr="00000000" w14:paraId="000001EA">
            <w:pPr>
              <w:widowControl w:val="0"/>
              <w:numPr>
                <w:ilvl w:val="0"/>
                <w:numId w:val="3"/>
              </w:numPr>
              <w:spacing w:line="240" w:lineRule="auto"/>
              <w:ind w:left="720" w:hanging="360"/>
              <w:rPr>
                <w:u w:val="none"/>
              </w:rPr>
            </w:pPr>
            <w:r w:rsidDel="00000000" w:rsidR="00000000" w:rsidRPr="00000000">
              <w:rPr>
                <w:rtl w:val="0"/>
              </w:rPr>
              <w:t xml:space="preserve">Las plataformas de datos abiertos existentes podrían centralizarse en una Plataforma Nacional de Transparencia unificada que actúe como un repositorio único para el acceso a la información, la transparencia institucional, los datos abiertos y el gobierno abierto.</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b w:val="1"/>
          <w:bCs w:val="1"/>
          <w:color w:val="3c78d8"/>
          <w:rtl w:val="0"/>
        </w:rPr>
        <w:t xml:space="preserve">Referencias</w:t>
      </w: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ACSH (2022), Políticas y prácticas de datos abiertos [gubernamentales]: Casos de países seleccionados, </w:t>
      </w:r>
      <w:hyperlink r:id="rId27">
        <w:r w:rsidDel="00000000" w:rsidR="00000000" w:rsidRPr="00000000">
          <w:rPr>
            <w:color w:val="1155cc"/>
            <w:u w:val="single"/>
            <w:rtl w:val="0"/>
          </w:rPr>
          <w:t xml:space="preserve">https://www.undp.org/sites/g/files/zskgke326/files/2023-</w:t>
        </w:r>
      </w:hyperlink>
      <w:r w:rsidDel="00000000" w:rsidR="00000000" w:rsidRPr="00000000">
        <w:rPr>
          <w:rtl w:val="0"/>
        </w:rPr>
      </w:r>
    </w:p>
    <w:p w:rsidR="00000000" w:rsidDel="00000000" w:rsidP="00000000" w:rsidRDefault="00000000" w:rsidRPr="00000000" w14:paraId="000001F3">
      <w:pPr>
        <w:rPr/>
      </w:pPr>
      <w:hyperlink r:id="rId28">
        <w:r w:rsidDel="00000000" w:rsidR="00000000" w:rsidRPr="00000000">
          <w:rPr>
            <w:color w:val="1155cc"/>
            <w:u w:val="single"/>
            <w:rtl w:val="0"/>
          </w:rPr>
          <w:t xml:space="preserve">03/20230317_Open%20Government%20Data_fin.fin_.pdf </w:t>
        </w:r>
      </w:hyperlink>
      <w:r w:rsidDel="00000000" w:rsidR="00000000" w:rsidRPr="00000000">
        <w:rPr>
          <w:rtl w:val="0"/>
        </w:rPr>
        <w:t xml:space="preserve">(consultado el 14 de enero de 2026).</w:t>
      </w:r>
    </w:p>
    <w:p w:rsidR="00000000" w:rsidDel="00000000" w:rsidP="00000000" w:rsidRDefault="00000000" w:rsidRPr="00000000" w14:paraId="000001F4">
      <w:pPr>
        <w:rPr/>
      </w:pPr>
      <w:r w:rsidDel="00000000" w:rsidR="00000000" w:rsidRPr="00000000">
        <w:rPr>
          <w:rtl w:val="0"/>
        </w:rPr>
        <w:t xml:space="preserve">[12]</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Bertelsmann Stiftung (2024), Informe de país de República Dominicana 2024,</w:t>
      </w:r>
      <w:hyperlink r:id="rId29">
        <w:r w:rsidDel="00000000" w:rsidR="00000000" w:rsidRPr="00000000">
          <w:rPr>
            <w:color w:val="1155cc"/>
            <w:u w:val="single"/>
            <w:rtl w:val="0"/>
          </w:rPr>
          <w:t xml:space="preserve"> https://bti-</w:t>
        </w:r>
      </w:hyperlink>
      <w:r w:rsidDel="00000000" w:rsidR="00000000" w:rsidRPr="00000000">
        <w:rPr>
          <w:rtl w:val="0"/>
        </w:rPr>
      </w:r>
    </w:p>
    <w:p w:rsidR="00000000" w:rsidDel="00000000" w:rsidP="00000000" w:rsidRDefault="00000000" w:rsidRPr="00000000" w14:paraId="000001F7">
      <w:pPr>
        <w:rPr/>
      </w:pPr>
      <w:hyperlink r:id="rId30">
        <w:r w:rsidDel="00000000" w:rsidR="00000000" w:rsidRPr="00000000">
          <w:rPr>
            <w:color w:val="1155cc"/>
            <w:u w:val="single"/>
            <w:rtl w:val="0"/>
          </w:rPr>
          <w:t xml:space="preserve">project.org/fileadmin/api/content/en/downloads/reports/country_report_2024_DOM.pdf.</w:t>
        </w:r>
      </w:hyperlink>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[10]</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Centro para el Derecho y la Democracia (2023), Calificación global del derecho a la información, </w:t>
      </w:r>
      <w:hyperlink r:id="rId31">
        <w:r w:rsidDel="00000000" w:rsidR="00000000" w:rsidRPr="00000000">
          <w:rPr>
            <w:color w:val="1155cc"/>
            <w:u w:val="single"/>
            <w:rtl w:val="0"/>
          </w:rPr>
          <w:t xml:space="preserve">https://www.rti-rating.org.</w:t>
        </w:r>
      </w:hyperlink>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[14]</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Freedom House (2024), Informe de país de República Dominicana,</w:t>
      </w:r>
    </w:p>
    <w:p w:rsidR="00000000" w:rsidDel="00000000" w:rsidP="00000000" w:rsidRDefault="00000000" w:rsidRPr="00000000" w14:paraId="00000200">
      <w:pPr>
        <w:rPr/>
      </w:pPr>
      <w:hyperlink r:id="rId32">
        <w:r w:rsidDel="00000000" w:rsidR="00000000" w:rsidRPr="00000000">
          <w:rPr>
            <w:color w:val="1155cc"/>
            <w:u w:val="single"/>
            <w:rtl w:val="0"/>
          </w:rPr>
          <w:t xml:space="preserve">https://freedomhouse.org/country/dominican-republic/freedom-world/2024.</w:t>
        </w:r>
      </w:hyperlink>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[9]</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Gobierno de la República Dominicana (2024), VI Plan De Acción De La República</w:t>
      </w:r>
    </w:p>
    <w:p w:rsidR="00000000" w:rsidDel="00000000" w:rsidP="00000000" w:rsidRDefault="00000000" w:rsidRPr="00000000" w14:paraId="00000205">
      <w:pPr>
        <w:rPr/>
      </w:pPr>
      <w:r w:rsidDel="00000000" w:rsidR="00000000" w:rsidRPr="00000000">
        <w:rPr>
          <w:rtl w:val="0"/>
        </w:rPr>
        <w:t xml:space="preserve">Dominicana Ante La Alianza Para El Gobierno Abierto 2024-2028,</w:t>
      </w:r>
    </w:p>
    <w:p w:rsidR="00000000" w:rsidDel="00000000" w:rsidP="00000000" w:rsidRDefault="00000000" w:rsidRPr="00000000" w14:paraId="00000206">
      <w:pPr>
        <w:rPr/>
      </w:pPr>
      <w:hyperlink r:id="rId33">
        <w:r w:rsidDel="00000000" w:rsidR="00000000" w:rsidRPr="00000000">
          <w:rPr>
            <w:color w:val="1155cc"/>
            <w:u w:val="single"/>
            <w:rtl w:val="0"/>
          </w:rPr>
          <w:t xml:space="preserve">https://www.opengovpartnership.org/wp-content/uploads/2025/01/Dominican-</w:t>
        </w:r>
      </w:hyperlink>
      <w:r w:rsidDel="00000000" w:rsidR="00000000" w:rsidRPr="00000000">
        <w:rPr>
          <w:rtl w:val="0"/>
        </w:rPr>
      </w:r>
    </w:p>
    <w:p w:rsidR="00000000" w:rsidDel="00000000" w:rsidP="00000000" w:rsidRDefault="00000000" w:rsidRPr="00000000" w14:paraId="00000207">
      <w:pPr>
        <w:rPr/>
      </w:pPr>
      <w:hyperlink r:id="rId34">
        <w:r w:rsidDel="00000000" w:rsidR="00000000" w:rsidRPr="00000000">
          <w:rPr>
            <w:color w:val="1155cc"/>
            <w:u w:val="single"/>
            <w:rtl w:val="0"/>
          </w:rPr>
          <w:t xml:space="preserve">República_Plan-Acción_2024-2028_ES.pdf.</w:t>
        </w:r>
      </w:hyperlink>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[17]</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OCDE (2025), Indicadores de Integridad Pública de la OCDE: Hoja informativa sobre República Dominicana,</w:t>
      </w:r>
    </w:p>
    <w:p w:rsidR="00000000" w:rsidDel="00000000" w:rsidP="00000000" w:rsidRDefault="00000000" w:rsidRPr="00000000" w14:paraId="0000020C">
      <w:pPr>
        <w:rPr/>
      </w:pPr>
      <w:hyperlink r:id="rId35">
        <w:r w:rsidDel="00000000" w:rsidR="00000000" w:rsidRPr="00000000">
          <w:rPr>
            <w:color w:val="1155cc"/>
            <w:u w:val="single"/>
            <w:rtl w:val="0"/>
          </w:rPr>
          <w:t xml:space="preserve">https://www.oecd.org/content/dam/oecd/en/topics/policy-sub-issues/public-</w:t>
        </w:r>
      </w:hyperlink>
      <w:r w:rsidDel="00000000" w:rsidR="00000000" w:rsidRPr="00000000">
        <w:rPr>
          <w:rtl w:val="0"/>
        </w:rPr>
      </w:r>
    </w:p>
    <w:p w:rsidR="00000000" w:rsidDel="00000000" w:rsidP="00000000" w:rsidRDefault="00000000" w:rsidRPr="00000000" w14:paraId="0000020D">
      <w:pPr>
        <w:rPr/>
      </w:pPr>
      <w:hyperlink r:id="rId36">
        <w:r w:rsidDel="00000000" w:rsidR="00000000" w:rsidRPr="00000000">
          <w:rPr>
            <w:color w:val="1155cc"/>
            <w:u w:val="single"/>
            <w:rtl w:val="0"/>
          </w:rPr>
          <w:t xml:space="preserve">integrity/country-fact-sheets/OECD-Public-Integrity-Indicators-Dominican-Republic-</w:t>
        </w:r>
      </w:hyperlink>
      <w:r w:rsidDel="00000000" w:rsidR="00000000" w:rsidRPr="00000000">
        <w:rPr>
          <w:rtl w:val="0"/>
        </w:rPr>
      </w:r>
    </w:p>
    <w:p w:rsidR="00000000" w:rsidDel="00000000" w:rsidP="00000000" w:rsidRDefault="00000000" w:rsidRPr="00000000" w14:paraId="0000020E">
      <w:pPr>
        <w:rPr/>
      </w:pPr>
      <w:hyperlink r:id="rId37">
        <w:r w:rsidDel="00000000" w:rsidR="00000000" w:rsidRPr="00000000">
          <w:rPr>
            <w:color w:val="1155cc"/>
            <w:u w:val="single"/>
            <w:rtl w:val="0"/>
          </w:rPr>
          <w:t xml:space="preserve">Country-Fact-Sheet-2025.pdf?utm_source=chatgpt.c.</w:t>
        </w:r>
      </w:hyperlink>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[16]</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OCDE (2025), Fortaleciendo el espacio cívico en América Latina y el Caribe, Documentos de Política de Gobernanza Pública de la OCDE n.° 70,</w:t>
      </w:r>
    </w:p>
    <w:p w:rsidR="00000000" w:rsidDel="00000000" w:rsidP="00000000" w:rsidRDefault="00000000" w:rsidRPr="00000000" w14:paraId="00000213">
      <w:pPr>
        <w:rPr/>
      </w:pPr>
      <w:hyperlink r:id="rId38">
        <w:r w:rsidDel="00000000" w:rsidR="00000000" w:rsidRPr="00000000">
          <w:rPr>
            <w:color w:val="1155cc"/>
            <w:u w:val="single"/>
            <w:rtl w:val="0"/>
          </w:rPr>
          <w:t xml:space="preserve">https://www.oecd.org/content/dam/oecd/en/publications/reports/2025/03/reinforcing-civic-</w:t>
        </w:r>
      </w:hyperlink>
      <w:r w:rsidDel="00000000" w:rsidR="00000000" w:rsidRPr="00000000">
        <w:rPr>
          <w:rtl w:val="0"/>
        </w:rPr>
      </w:r>
    </w:p>
    <w:p w:rsidR="00000000" w:rsidDel="00000000" w:rsidP="00000000" w:rsidRDefault="00000000" w:rsidRPr="00000000" w14:paraId="00000214">
      <w:pPr>
        <w:rPr/>
      </w:pPr>
      <w:hyperlink r:id="rId39">
        <w:r w:rsidDel="00000000" w:rsidR="00000000" w:rsidRPr="00000000">
          <w:rPr>
            <w:color w:val="1155cc"/>
            <w:u w:val="single"/>
            <w:rtl w:val="0"/>
          </w:rPr>
          <w:t xml:space="preserve">space-in-latin-america-and-the-caribbean_51d35dbd/4b3def3a-en.pdf.</w:t>
        </w:r>
      </w:hyperlink>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[8]</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OCDE (2024), Perspectivas de Anticorrupción e Integridad 2024,</w:t>
      </w:r>
    </w:p>
    <w:p w:rsidR="00000000" w:rsidDel="00000000" w:rsidP="00000000" w:rsidRDefault="00000000" w:rsidRPr="00000000" w14:paraId="00000219">
      <w:pPr>
        <w:rPr/>
      </w:pPr>
      <w:hyperlink r:id="rId40">
        <w:r w:rsidDel="00000000" w:rsidR="00000000" w:rsidRPr="00000000">
          <w:rPr>
            <w:color w:val="1155cc"/>
            <w:u w:val="single"/>
            <w:rtl w:val="0"/>
          </w:rPr>
          <w:t xml:space="preserve">https://www.oecd.org/publication/anti-corruption-and-integrity-outlook/2024.</w:t>
        </w:r>
      </w:hyperlink>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[18]</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OCDE (2024), Perspectivas de Anticorrupción e Integridad 2024, Publicaciones de la OCDE, París,</w:t>
      </w:r>
    </w:p>
    <w:p w:rsidR="00000000" w:rsidDel="00000000" w:rsidP="00000000" w:rsidRDefault="00000000" w:rsidRPr="00000000" w14:paraId="0000021D">
      <w:pPr>
        <w:rPr/>
      </w:pPr>
      <w:hyperlink r:id="rId41">
        <w:r w:rsidDel="00000000" w:rsidR="00000000" w:rsidRPr="00000000">
          <w:rPr>
            <w:color w:val="1155cc"/>
            <w:u w:val="single"/>
            <w:rtl w:val="0"/>
          </w:rPr>
          <w:t xml:space="preserve">https://doi.org/10.1787/968587cd-en.</w:t>
        </w:r>
      </w:hyperlink>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[4]</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OCDE (2024), Encuesta de la OCDE sobre Factores que Impulsan la Confianza en las Instituciones Públicas – Resultados de 2024: Generando Confianza en un Entorno Político Complejo, Publicaciones de la OCDE, París,</w:t>
      </w:r>
    </w:p>
    <w:p w:rsidR="00000000" w:rsidDel="00000000" w:rsidP="00000000" w:rsidRDefault="00000000" w:rsidRPr="00000000" w14:paraId="00000222">
      <w:pPr>
        <w:rPr/>
      </w:pPr>
      <w:hyperlink r:id="rId42">
        <w:r w:rsidDel="00000000" w:rsidR="00000000" w:rsidRPr="00000000">
          <w:rPr>
            <w:color w:val="1155cc"/>
            <w:u w:val="single"/>
            <w:rtl w:val="0"/>
          </w:rPr>
          <w:t xml:space="preserve">https://doi.org/10.1787/9a20554b-en.</w:t>
        </w:r>
      </w:hyperlink>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[3]</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OCDE (2022), La Protección y Promoción del Espacio Cívico: Fortaleciendo la Alineación con las Normas y Orientaciones Internacionales, Publicaciones de la OCDE, París,</w:t>
      </w:r>
    </w:p>
    <w:p w:rsidR="00000000" w:rsidDel="00000000" w:rsidP="00000000" w:rsidRDefault="00000000" w:rsidRPr="00000000" w14:paraId="00000227">
      <w:pPr>
        <w:rPr/>
      </w:pPr>
      <w:hyperlink r:id="rId43">
        <w:r w:rsidDel="00000000" w:rsidR="00000000" w:rsidRPr="00000000">
          <w:rPr>
            <w:color w:val="1155cc"/>
            <w:u w:val="single"/>
            <w:rtl w:val="0"/>
          </w:rPr>
          <w:t xml:space="preserve">https://doi.org/10.1787/d234e975-en.</w:t>
        </w:r>
      </w:hyperlink>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[19]</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OCDE (2022), La protección y promoción del espacio cívico: Fortalecimiento de la alineación con las normas y directrices internacionales, Publicaciones de la OCDE, París,</w:t>
      </w:r>
    </w:p>
    <w:p w:rsidR="00000000" w:rsidDel="00000000" w:rsidP="00000000" w:rsidRDefault="00000000" w:rsidRPr="00000000" w14:paraId="0000022C">
      <w:pPr>
        <w:rPr/>
      </w:pPr>
      <w:hyperlink r:id="rId44">
        <w:r w:rsidDel="00000000" w:rsidR="00000000" w:rsidRPr="00000000">
          <w:rPr>
            <w:color w:val="1155cc"/>
            <w:u w:val="single"/>
            <w:rtl w:val="0"/>
          </w:rPr>
          <w:t xml:space="preserve">https://doi.org/10.1787/d234e975-en.</w:t>
        </w:r>
      </w:hyperlink>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[15]</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OCDE (2022), La protección y promoción del espacio cívico: Fortalecimiento de la alineación con las normas y directrices internacionales, Publicaciones de la OCDE, París,</w:t>
      </w:r>
    </w:p>
    <w:p w:rsidR="00000000" w:rsidDel="00000000" w:rsidP="00000000" w:rsidRDefault="00000000" w:rsidRPr="00000000" w14:paraId="00000231">
      <w:pPr>
        <w:rPr/>
      </w:pPr>
      <w:hyperlink r:id="rId45">
        <w:r w:rsidDel="00000000" w:rsidR="00000000" w:rsidRPr="00000000">
          <w:rPr>
            <w:color w:val="1155cc"/>
            <w:u w:val="single"/>
            <w:rtl w:val="0"/>
          </w:rPr>
          <w:t xml:space="preserve">https://doi.org/10.1787/d234e975-en.</w:t>
        </w:r>
      </w:hyperlink>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[5]</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OCDE (2021), Recomendación de la OCDE para mejorar el acceso y el intercambio de datos,</w:t>
      </w:r>
    </w:p>
    <w:p w:rsidR="00000000" w:rsidDel="00000000" w:rsidP="00000000" w:rsidRDefault="00000000" w:rsidRPr="00000000" w14:paraId="00000236">
      <w:pPr>
        <w:rPr/>
      </w:pPr>
      <w:hyperlink r:id="rId46">
        <w:r w:rsidDel="00000000" w:rsidR="00000000" w:rsidRPr="00000000">
          <w:rPr>
            <w:color w:val="1155cc"/>
            <w:u w:val="single"/>
            <w:rtl w:val="0"/>
          </w:rPr>
          <w:t xml:space="preserve">https://www.oecd.org/en/publications/access-to-public-research-data-toolkit_a12e8998-</w:t>
        </w:r>
      </w:hyperlink>
      <w:r w:rsidDel="00000000" w:rsidR="00000000" w:rsidRPr="00000000">
        <w:rPr>
          <w:rtl w:val="0"/>
        </w:rPr>
      </w:r>
    </w:p>
    <w:p w:rsidR="00000000" w:rsidDel="00000000" w:rsidP="00000000" w:rsidRDefault="00000000" w:rsidRPr="00000000" w14:paraId="00000237">
      <w:pPr>
        <w:rPr/>
      </w:pPr>
      <w:hyperlink r:id="rId47">
        <w:r w:rsidDel="00000000" w:rsidR="00000000" w:rsidRPr="00000000">
          <w:rPr>
            <w:color w:val="1155cc"/>
            <w:u w:val="single"/>
            <w:rtl w:val="0"/>
          </w:rPr>
          <w:t xml:space="preserve">en/oecd-recommendation-on-enhancing-access-to-and-sharing-of-data-2021_cd69b13a-</w:t>
        </w:r>
      </w:hyperlink>
      <w:r w:rsidDel="00000000" w:rsidR="00000000" w:rsidRPr="00000000">
        <w:rPr>
          <w:rtl w:val="0"/>
        </w:rPr>
      </w:r>
    </w:p>
    <w:p w:rsidR="00000000" w:rsidDel="00000000" w:rsidP="00000000" w:rsidRDefault="00000000" w:rsidRPr="00000000" w14:paraId="00000238">
      <w:pPr>
        <w:rPr/>
      </w:pPr>
      <w:hyperlink r:id="rId48">
        <w:r w:rsidDel="00000000" w:rsidR="00000000" w:rsidRPr="00000000">
          <w:rPr>
            <w:color w:val="1155cc"/>
            <w:u w:val="single"/>
            <w:rtl w:val="0"/>
          </w:rPr>
          <w:t xml:space="preserve">en.html (consultado el 22 de enero de 2026).</w:t>
        </w:r>
      </w:hyperlink>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[11]</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OCDE (2020), Manual de Integridad Pública de la OCDE, Publicaciones de la OCDE, París,</w:t>
      </w:r>
    </w:p>
    <w:p w:rsidR="00000000" w:rsidDel="00000000" w:rsidP="00000000" w:rsidRDefault="00000000" w:rsidRPr="00000000" w14:paraId="0000023D">
      <w:pPr>
        <w:rPr/>
      </w:pPr>
      <w:hyperlink r:id="rId49">
        <w:r w:rsidDel="00000000" w:rsidR="00000000" w:rsidRPr="00000000">
          <w:rPr>
            <w:color w:val="1155cc"/>
            <w:u w:val="single"/>
            <w:rtl w:val="0"/>
          </w:rPr>
          <w:t xml:space="preserve">https://doi.org/10.1787/ac8ed8e8-en.</w:t>
        </w:r>
      </w:hyperlink>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[2]</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OCDE (2020), “El Marco de Política de Gobierno Digital de la OCDE: Seis dimensiones de un Gobierno Digital”, Documentos de Política de Gobernanza Pública de la OCDE, n.º 02, Publicaciones de la OCDE, París,</w:t>
      </w:r>
    </w:p>
    <w:p w:rsidR="00000000" w:rsidDel="00000000" w:rsidP="00000000" w:rsidRDefault="00000000" w:rsidRPr="00000000" w14:paraId="00000242">
      <w:pPr>
        <w:rPr/>
      </w:pPr>
      <w:hyperlink r:id="rId50">
        <w:r w:rsidDel="00000000" w:rsidR="00000000" w:rsidRPr="00000000">
          <w:rPr>
            <w:color w:val="1155cc"/>
            <w:u w:val="single"/>
            <w:rtl w:val="0"/>
          </w:rPr>
          <w:t xml:space="preserve">https://doi.org/10.1787/f64fed2a-en.</w:t>
        </w:r>
      </w:hyperlink>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[13]</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OCDE (2018), Perspectivas del Comportamiento para la Integridad Pública: Aprovechar el Factor Humano para Contrarrestar la Corrupción, Estudios de Gobernanza Pública de la OCDE, Publicaciones de la OCDE, París,</w:t>
      </w:r>
    </w:p>
    <w:p w:rsidR="00000000" w:rsidDel="00000000" w:rsidP="00000000" w:rsidRDefault="00000000" w:rsidRPr="00000000" w14:paraId="00000247">
      <w:pPr>
        <w:rPr/>
      </w:pPr>
      <w:hyperlink r:id="rId51">
        <w:r w:rsidDel="00000000" w:rsidR="00000000" w:rsidRPr="00000000">
          <w:rPr>
            <w:color w:val="1155cc"/>
            <w:u w:val="single"/>
            <w:rtl w:val="0"/>
          </w:rPr>
          <w:t xml:space="preserve">https://doi.org/10.1787/9789264297067-en.</w:t>
        </w:r>
      </w:hyperlink>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[1]</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OCDE (2017), Recomendación del Consejo de la OCDE sobre Gobierno Abierto,</w:t>
      </w:r>
    </w:p>
    <w:p w:rsidR="00000000" w:rsidDel="00000000" w:rsidP="00000000" w:rsidRDefault="00000000" w:rsidRPr="00000000" w14:paraId="0000024C">
      <w:pPr>
        <w:rPr/>
      </w:pPr>
      <w:hyperlink r:id="rId52">
        <w:r w:rsidDel="00000000" w:rsidR="00000000" w:rsidRPr="00000000">
          <w:rPr>
            <w:color w:val="1155cc"/>
            <w:u w:val="single"/>
            <w:rtl w:val="0"/>
          </w:rPr>
          <w:t xml:space="preserve">https://legalinstruments.oecd.org/en/instruments/OECD-LEGAL-0438 </w:t>
        </w:r>
      </w:hyperlink>
      <w:r w:rsidDel="00000000" w:rsidR="00000000" w:rsidRPr="00000000">
        <w:rPr>
          <w:rtl w:val="0"/>
        </w:rPr>
        <w:t xml:space="preserve">(consultado el 5 de febrero de 2024).</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[20]</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OCDE (2017), Recomendación del Consejo de la OCDE sobre Integridad Pública,</w:t>
      </w:r>
    </w:p>
    <w:p w:rsidR="00000000" w:rsidDel="00000000" w:rsidP="00000000" w:rsidRDefault="00000000" w:rsidRPr="00000000" w14:paraId="00000251">
      <w:pPr>
        <w:rPr/>
      </w:pPr>
      <w:hyperlink r:id="rId53">
        <w:r w:rsidDel="00000000" w:rsidR="00000000" w:rsidRPr="00000000">
          <w:rPr>
            <w:color w:val="1155cc"/>
            <w:u w:val="single"/>
            <w:rtl w:val="0"/>
          </w:rPr>
          <w:t xml:space="preserve">https://www.oecd.org/gov/ethics/OECD-Recommendation-Public-Integrity.pdf.</w:t>
        </w:r>
      </w:hyperlink>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[6]</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OCDE (2017), Recomendación del Consejo sobre Gobierno Abierto,</w:t>
      </w:r>
    </w:p>
    <w:p w:rsidR="00000000" w:rsidDel="00000000" w:rsidP="00000000" w:rsidRDefault="00000000" w:rsidRPr="00000000" w14:paraId="00000256">
      <w:pPr>
        <w:rPr/>
      </w:pPr>
      <w:hyperlink r:id="rId54">
        <w:r w:rsidDel="00000000" w:rsidR="00000000" w:rsidRPr="00000000">
          <w:rPr>
            <w:color w:val="1155cc"/>
            <w:u w:val="single"/>
            <w:rtl w:val="0"/>
          </w:rPr>
          <w:t xml:space="preserve">https://legalinstruments.oecd.org/en/instruments/OECD-LEGAL-0438.</w:t>
        </w:r>
      </w:hyperlink>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[7]</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ind w:left="0" w:firstLine="0"/>
        <w:rPr/>
      </w:pPr>
      <w:r w:rsidDel="00000000" w:rsidR="00000000" w:rsidRPr="00000000">
        <w:rPr>
          <w:rtl w:val="0"/>
        </w:rPr>
      </w:r>
    </w:p>
    <w:sectPr>
      <w:headerReference r:id="rId55" w:type="default"/>
      <w:headerReference r:id="rId56" w:type="first"/>
      <w:footerReference r:id="rId57" w:type="default"/>
      <w:footerReference r:id="rId5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rPr/>
    </w:pPr>
    <w:r w:rsidDel="00000000" w:rsidR="00000000" w:rsidRPr="00000000">
      <w:rPr>
        <w:rtl w:val="0"/>
      </w:rPr>
      <w:t xml:space="preserve">Este documento, así como cualquier dato y mapa incluido en él, se entienden sin perjuicio del estatus o la soberanía de cualquier territorio, de la delimitación de fronteras y límites internacionales ni del nombre de cualquier territorio, ciudad o zona.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rPr/>
    </w:pPr>
    <w:r w:rsidDel="00000000" w:rsidR="00000000" w:rsidRPr="00000000">
      <w:rPr/>
      <w:drawing>
        <wp:inline distB="114300" distT="114300" distL="114300" distR="114300">
          <wp:extent cx="2443163" cy="62217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43163" cy="62217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oecd.org/publication/anti-corruption-and-integrity-outlook/2024" TargetMode="External"/><Relationship Id="rId42" Type="http://schemas.openxmlformats.org/officeDocument/2006/relationships/hyperlink" Target="https://doi.org/10.1787/9a20554b-en" TargetMode="External"/><Relationship Id="rId41" Type="http://schemas.openxmlformats.org/officeDocument/2006/relationships/hyperlink" Target="https://doi.org/10.1787/968587cd-en" TargetMode="External"/><Relationship Id="rId44" Type="http://schemas.openxmlformats.org/officeDocument/2006/relationships/hyperlink" Target="https://doi.org/10.1787/d234e975-en" TargetMode="External"/><Relationship Id="rId43" Type="http://schemas.openxmlformats.org/officeDocument/2006/relationships/hyperlink" Target="https://doi.org/10.1787/d234e975-en" TargetMode="External"/><Relationship Id="rId46" Type="http://schemas.openxmlformats.org/officeDocument/2006/relationships/hyperlink" Target="https://www.oecd.org/en/publications/access-to-public-research-data-toolkit_a12e8998-" TargetMode="External"/><Relationship Id="rId45" Type="http://schemas.openxmlformats.org/officeDocument/2006/relationships/hyperlink" Target="https://doi.org/10.1787/d234e975-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www.oecd.org/en/publications/access-to-public-research-data-toolkit_a12e8998-" TargetMode="External"/><Relationship Id="rId47" Type="http://schemas.openxmlformats.org/officeDocument/2006/relationships/hyperlink" Target="https://www.oecd.org/en/publications/access-to-public-research-data-toolkit_a12e8998-" TargetMode="External"/><Relationship Id="rId49" Type="http://schemas.openxmlformats.org/officeDocument/2006/relationships/hyperlink" Target="https://doi.org/10.1787/ac8ed8e8-en" TargetMode="External"/><Relationship Id="rId5" Type="http://schemas.openxmlformats.org/officeDocument/2006/relationships/styles" Target="styles.xml"/><Relationship Id="rId6" Type="http://schemas.openxmlformats.org/officeDocument/2006/relationships/hyperlink" Target="mailto:pauline.bertrand@oecd.org" TargetMode="External"/><Relationship Id="rId7" Type="http://schemas.openxmlformats.org/officeDocument/2006/relationships/image" Target="media/image7.png"/><Relationship Id="rId8" Type="http://schemas.openxmlformats.org/officeDocument/2006/relationships/hyperlink" Target="https://oecd-public-integrity-indicators.org" TargetMode="External"/><Relationship Id="rId31" Type="http://schemas.openxmlformats.org/officeDocument/2006/relationships/hyperlink" Target="https://www.rti-rating.org" TargetMode="External"/><Relationship Id="rId30" Type="http://schemas.openxmlformats.org/officeDocument/2006/relationships/hyperlink" Target="about:blank" TargetMode="External"/><Relationship Id="rId33" Type="http://schemas.openxmlformats.org/officeDocument/2006/relationships/hyperlink" Target="https://www.opengovpartnership.org/wp-content/uploads/2025/01/Dominican-" TargetMode="External"/><Relationship Id="rId32" Type="http://schemas.openxmlformats.org/officeDocument/2006/relationships/hyperlink" Target="https://freedomhouse.org/country/dominican-republic/freedom-world/2024" TargetMode="External"/><Relationship Id="rId35" Type="http://schemas.openxmlformats.org/officeDocument/2006/relationships/hyperlink" Target="https://www.oecd.org/content/dam/oecd/en/topics/policy-sub-issues/public-" TargetMode="External"/><Relationship Id="rId34" Type="http://schemas.openxmlformats.org/officeDocument/2006/relationships/hyperlink" Target="https://www.opengovpartnership.org/wp-content/uploads/2025/01/Dominican-" TargetMode="External"/><Relationship Id="rId37" Type="http://schemas.openxmlformats.org/officeDocument/2006/relationships/hyperlink" Target="https://www.oecd.org/content/dam/oecd/en/topics/policy-sub-issues/public-" TargetMode="External"/><Relationship Id="rId36" Type="http://schemas.openxmlformats.org/officeDocument/2006/relationships/hyperlink" Target="https://www.oecd.org/content/dam/oecd/en/topics/policy-sub-issues/public-" TargetMode="External"/><Relationship Id="rId39" Type="http://schemas.openxmlformats.org/officeDocument/2006/relationships/hyperlink" Target="https://www.oecd.org/content/dam/oecd/en/publications/reports/2025/03/reinforcing-civic-" TargetMode="External"/><Relationship Id="rId38" Type="http://schemas.openxmlformats.org/officeDocument/2006/relationships/hyperlink" Target="https://www.oecd.org/content/dam/oecd/en/publications/reports/2025/03/reinforcing-civic-" TargetMode="External"/><Relationship Id="rId20" Type="http://schemas.openxmlformats.org/officeDocument/2006/relationships/hyperlink" Target="https://gobiernoabierto.gob.do" TargetMode="External"/><Relationship Id="rId22" Type="http://schemas.openxmlformats.org/officeDocument/2006/relationships/hyperlink" Target="https://gobiernoabierto.gob.do/" TargetMode="External"/><Relationship Id="rId21" Type="http://schemas.openxmlformats.org/officeDocument/2006/relationships/hyperlink" Target="https://transparencia.gob.do/index" TargetMode="External"/><Relationship Id="rId24" Type="http://schemas.openxmlformats.org/officeDocument/2006/relationships/hyperlink" Target="https://saip.gob.do/" TargetMode="External"/><Relationship Id="rId23" Type="http://schemas.openxmlformats.org/officeDocument/2006/relationships/hyperlink" Target="https://datos.gob.do/" TargetMode="External"/><Relationship Id="rId26" Type="http://schemas.openxmlformats.org/officeDocument/2006/relationships/image" Target="media/image4.png"/><Relationship Id="rId25" Type="http://schemas.openxmlformats.org/officeDocument/2006/relationships/hyperlink" Target="https://transparencia.hacienda.gob.do/" TargetMode="External"/><Relationship Id="rId28" Type="http://schemas.openxmlformats.org/officeDocument/2006/relationships/hyperlink" Target="https://www.undp.org/sites/g/files/zskgke326/files/2023-" TargetMode="External"/><Relationship Id="rId27" Type="http://schemas.openxmlformats.org/officeDocument/2006/relationships/hyperlink" Target="https://www.undp.org/sites/g/files/zskgke326/files/2023-" TargetMode="External"/><Relationship Id="rId29" Type="http://schemas.openxmlformats.org/officeDocument/2006/relationships/hyperlink" Target="about:blank" TargetMode="External"/><Relationship Id="rId51" Type="http://schemas.openxmlformats.org/officeDocument/2006/relationships/hyperlink" Target="https://doi.org/10.1787/9789264297067-en" TargetMode="External"/><Relationship Id="rId50" Type="http://schemas.openxmlformats.org/officeDocument/2006/relationships/hyperlink" Target="https://doi.org/10.1787/f64fed2a-en" TargetMode="External"/><Relationship Id="rId53" Type="http://schemas.openxmlformats.org/officeDocument/2006/relationships/hyperlink" Target="https://www.oecd.org/gov/ethics/OECD-Recommendation-Public-Integrity.pdf" TargetMode="External"/><Relationship Id="rId52" Type="http://schemas.openxmlformats.org/officeDocument/2006/relationships/hyperlink" Target="https://legalinstruments.oecd.org/en/instruments/OECD-LEGAL-0438" TargetMode="External"/><Relationship Id="rId11" Type="http://schemas.openxmlformats.org/officeDocument/2006/relationships/hyperlink" Target="https://www.rti-rating.org/" TargetMode="External"/><Relationship Id="rId55" Type="http://schemas.openxmlformats.org/officeDocument/2006/relationships/header" Target="header1.xml"/><Relationship Id="rId10" Type="http://schemas.openxmlformats.org/officeDocument/2006/relationships/image" Target="media/image8.png"/><Relationship Id="rId54" Type="http://schemas.openxmlformats.org/officeDocument/2006/relationships/hyperlink" Target="https://legalinstruments.oecd.org/en/instruments/OECD-LEGAL-0438" TargetMode="External"/><Relationship Id="rId13" Type="http://schemas.openxmlformats.org/officeDocument/2006/relationships/hyperlink" Target="https://www.rti-rating.org/country-data/" TargetMode="External"/><Relationship Id="rId57" Type="http://schemas.openxmlformats.org/officeDocument/2006/relationships/footer" Target="footer1.xml"/><Relationship Id="rId12" Type="http://schemas.openxmlformats.org/officeDocument/2006/relationships/image" Target="media/image5.png"/><Relationship Id="rId56" Type="http://schemas.openxmlformats.org/officeDocument/2006/relationships/header" Target="header2.xml"/><Relationship Id="rId15" Type="http://schemas.openxmlformats.org/officeDocument/2006/relationships/hyperlink" Target="https://doi.org/10.1787/d234e975-en" TargetMode="External"/><Relationship Id="rId14" Type="http://schemas.openxmlformats.org/officeDocument/2006/relationships/image" Target="media/image3.png"/><Relationship Id="rId58" Type="http://schemas.openxmlformats.org/officeDocument/2006/relationships/footer" Target="footer2.xml"/><Relationship Id="rId17" Type="http://schemas.openxmlformats.org/officeDocument/2006/relationships/hyperlink" Target="https://saip.gob.do/estadisticas-por-tipo-de-informacion" TargetMode="External"/><Relationship Id="rId16" Type="http://schemas.openxmlformats.org/officeDocument/2006/relationships/image" Target="media/image2.png"/><Relationship Id="rId19" Type="http://schemas.openxmlformats.org/officeDocument/2006/relationships/hyperlink" Target="http://transparencia.pgr.gob.do" TargetMode="External"/><Relationship Id="rId18" Type="http://schemas.openxmlformats.org/officeDocument/2006/relationships/hyperlink" Target="https://datos.gob.d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