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Para Uso Oficial </w:t>
        <w:tab/>
        <w:tab/>
        <w:tab/>
        <w:tab/>
        <w:tab/>
        <w:tab/>
        <w:tab/>
        <w:t xml:space="preserve">               Original en Inglés</w:t>
      </w:r>
    </w:p>
    <w:p w:rsidR="00000000" w:rsidDel="00000000" w:rsidP="00000000" w:rsidRDefault="00000000" w:rsidRPr="00000000" w14:paraId="0000000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Estudio de Integridad de la OCDE sobre la República Dominicana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Capítulo 8: Fortalecimiento de la transparencia y la integridad en el cabildeo y la influencia en la República Dominicana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Ingrese cualquier información logística relacionada con la reunión, como la fecha, la hora y el lugar.</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Segundo borrador del Capítulo 8 Fortalecimiento de la transparencia y la integridad en el lobby y la influencia en  República Dominicana, para comentarios de las contrapartes relevantes de la República Dominicana.</w:t>
            </w:r>
          </w:p>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t xml:space="preserve">Este nuevo Capítulo 8 recoge el análisis y recomendaciones del anterior Capítulo 6 relacionados con transparencia e integridad de las actividades de cabildeo e influencia.</w:t>
            </w:r>
          </w:p>
          <w:p w:rsidR="00000000" w:rsidDel="00000000" w:rsidP="00000000" w:rsidRDefault="00000000" w:rsidRPr="00000000" w14:paraId="0000000F">
            <w:pPr>
              <w:widowControl w:val="0"/>
              <w:spacing w:line="240" w:lineRule="auto"/>
              <w:rPr/>
            </w:pPr>
            <w:r w:rsidDel="00000000" w:rsidR="00000000" w:rsidRPr="00000000">
              <w:rPr>
                <w:rtl w:val="0"/>
              </w:rPr>
              <w:t xml:space="preserve">Por favor incluya comentarios o sugerencias directamente en el texto o usando la función de control de cambios para fácil identificación.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Pauline Bertrand (</w:t>
      </w:r>
      <w:hyperlink r:id="rId6">
        <w:r w:rsidDel="00000000" w:rsidR="00000000" w:rsidRPr="00000000">
          <w:rPr>
            <w:color w:val="1155cc"/>
            <w:u w:val="single"/>
            <w:rtl w:val="0"/>
          </w:rPr>
          <w:t xml:space="preserve">pauline.bertrand@oecd.org</w:t>
        </w:r>
      </w:hyperlink>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Title"/>
        <w:rPr>
          <w:rFonts w:ascii="Arial Rounded" w:cs="Arial Rounded" w:eastAsia="Arial Rounded" w:hAnsi="Arial Rounded"/>
          <w:color w:val="3c78d8"/>
        </w:rPr>
      </w:pPr>
      <w:bookmarkStart w:colFirst="0" w:colLast="0" w:name="_mxi6ilwnqzhg" w:id="0"/>
      <w:bookmarkEnd w:id="0"/>
      <w:r w:rsidDel="00000000" w:rsidR="00000000" w:rsidRPr="00000000">
        <w:rPr>
          <w:rFonts w:ascii="Arial Rounded" w:cs="Arial Rounded" w:eastAsia="Arial Rounded" w:hAnsi="Arial Rounded"/>
          <w:color w:val="3c78d8"/>
          <w:rtl w:val="0"/>
        </w:rPr>
        <w:t xml:space="preserve">8. Fortalecimiento de la transparencia y la integridad en el cabildeo y la influencia en la República Dominicana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Este capítulo examina cómo la República Dominicana podría fortalecer la transparencia y la integridad en las actividades de cabildeo e influencia dirigidas a influir en la toma de decisiones públicas. Describe los elementos clave de un marco regulatorio coherente para el cabildeo, incluyendo definiciones claras, requisitos de transparencia y herramientas complementarias de divulgación, como registros de cabildeo, agendas abiertas y registros de toma de decisiones. El capítulo también explora cómo desarrollar estándares de integridad tanto para funcionarios públicos como para cabilderos con el fin de mitigar la influencia indebida, junto con incentivos para promover la participación responsable de empresas y asociaciones empresariales. Finalmente, evalúa los mecanismos institucionales, de cumplimiento y de gobernanza necesarios para garantizar una implementación efectiva, incluyendo la supervisión independiente, sanciones proporcionadas y la participación de las partes interesadas en el diseño, la operación y la revisión periódica del marco.</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0" w:firstLine="0"/>
        <w:rPr>
          <w:b w:val="1"/>
          <w:bCs w:val="1"/>
          <w:color w:val="3c78d8"/>
        </w:rPr>
      </w:pPr>
      <w:r w:rsidDel="00000000" w:rsidR="00000000" w:rsidRPr="00000000">
        <w:rPr>
          <w:b w:val="1"/>
          <w:bCs w:val="1"/>
          <w:color w:val="3c78d8"/>
          <w:rtl w:val="0"/>
        </w:rPr>
        <w:t xml:space="preserve">8.1. Introducción</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1. Las políticas públicas son el principal producto que la ciudadanía recibe, observa y evalúa de sus gobiernos. Al diseñar e implementar estas políticas, los gobiernos deben reconocer la existencia de diversos grupos de interés y considerar los costos y beneficios para estos. Por lo tanto, una amplia gama de actores clave debe tener una oportunidad justa y equitativa de contribuir a la toma de decisiones públicas (OCDE, 2017 [1]; OCDE, 2010 [2]).</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t xml:space="preserve">2. Una forma en que los actores clave pueden contribuir a la toma de decisiones públicas es a través de lo que comúnmente se conoce como "lobbying" o "representación de intereses", es decir, las comunicaciones entre lobistas y funcionarios públicos destinadas a influir en los procesos de toma de decisiones públicas. Estas prácticas, cuando se llevan a cabo en un marco claro, transparente y basado en la integridad, son un componente necesario de la vida democrática y una parte esencial del proceso de formulación de políticas públicas. Aportan una valiosa experiencia y perspectivas cruciales que ayudan a los gobiernos a tomar decisiones públicas más informadas, diseñar mejores políticas públicas, adoptar regulaciones más proporcionadas y efectivas y, en última instancia, generar resultados políticos más efectivos, justos y confiables (OCDE, 2021).</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 xml:space="preserve">3. Sin embargo, en ausencia de salvaguardias adecuadas, el cabildeo puede generar desigualdades en el acceso y las ventajas para ciertos grupos, así como oportunidades para prácticas opacas o manipuladoras, lo que resulta en una influencia asimétrica o indebida en la toma de decisiones públicas (OCDE, 2010 [2]). Dicha influencia puede conducir a decisiones sesgadas o mal informadas, debilitando la prosperidad mediante el uso ineficiente de los recursos, la reducción de la productividad y el aumento de las desigualdades, y, en algunos casos, generando resultados perjudiciales en áreas políticas críticas como la salud y la protección del consumidor. Cuando la formulación de políticas está determinada principalmente por intereses especiales, se pueden abandonar las regulaciones necesarias para abordar las fallas del mercado, mientras que se puede adoptar una regulación excesiva para proteger a los operadores tradicionales, reduciendo así la competencia, distorsionando los incentivos a la innovación, frenando el crecimiento económico y limitando la creación de empleo (Dellis). y Sondermann, 2017 [4]).</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4. En última instancia, las políticas públicas desinformadas que responden únicamente a las necesidades de un grupo de interés específico pueden afectar negativamente la confianza en el gobierno, lo que podría resultar en la insatisfacción del público en general con las instituciones públicas y los procesos democráticos. La Encuesta de la OCDE de 2023 sobre Factores que Impulsan la Confianza en las Instituciones Públicas mostró que, en promedio, el 49 % de los miembros de la OCDE predice que un funcionario político de alto nivel concedería un favor político a cambio de la oferta de un trabajo bien remunerado en el sector privado, mientras que el 43 % afirma que es probable que el gobierno nacional acepte las demandas de una corporación que promueva una política beneficiosa para su sector, pero perjudicial para la sociedad en su conjunto (OCDE, 2024 [5]).</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5. Estos desafíos se agravan aún más en una era de influencia digital, donde las interacciones tradicionales a puerta cerrada se complementan cada vez más, y en ocasiones se ven superadas, por campañas digitales integradas que moldean las narrativas y los entornos informativos. A menudo impulsadas por la inteligencia artificial. Inteligencia artificial, estas campañas permiten que los mensajes se dirijan, amplifiquen y ajusten a escala, haciendo que la visibilidad en línea sea tan importante como las conexiones con los responsables de la toma de decisiones. Si bien esta transformación ha reducido las barreras a la participación y permite que una gama más diversa de grupos de interés se escuche, también ha aumentado los riesgos de engaño y manipulación de la opinión pública a través de redes en línea en gran medida no reguladas (OCDE, 2021).</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6. La Recomendación de la OCDE sobre Integridad Pública (OCDE, 2017 [1]), la Recomendación de la OCDE sobre Directrices para la Gestión de Conflictos de Intereses en la Función Pública (OCDE, 2003 [6]), la Recomendación de la OCDE sobre Transparencia e Integridad en el Cabildeo y la Influencia (OCDE, 2010 [2]) y la Recomendación de la OCDE sobre Integridad de la Información (OCDE, 2024 [7]) establecen los pilares principales para construir o fortalecer un sistema coherente, integral, eficaz y Un sistema de transparencia e integridad aplicable para las prácticas de cabildeo e influencia, y garantizar su aplicación y cumplimiento efectivos. Esto incluye, entre otras medidas:</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numPr>
          <w:ilvl w:val="0"/>
          <w:numId w:val="17"/>
        </w:numPr>
        <w:ind w:left="1440" w:hanging="360"/>
        <w:rPr>
          <w:u w:val="none"/>
        </w:rPr>
      </w:pPr>
      <w:r w:rsidDel="00000000" w:rsidR="00000000" w:rsidRPr="00000000">
        <w:rPr>
          <w:rtl w:val="0"/>
        </w:rPr>
        <w:t xml:space="preserve">Permitir a todas las partes interesadas, incluyendo el sector privado, la sociedad civil y los particulares, el acceso al desarrollo e implementación de políticas públicas (véase también el Capítulo 5).</w:t>
      </w:r>
    </w:p>
    <w:p w:rsidR="00000000" w:rsidDel="00000000" w:rsidP="00000000" w:rsidRDefault="00000000" w:rsidRPr="00000000" w14:paraId="0000004B">
      <w:pPr>
        <w:numPr>
          <w:ilvl w:val="0"/>
          <w:numId w:val="17"/>
        </w:numPr>
        <w:ind w:left="1440" w:hanging="360"/>
        <w:rPr>
          <w:u w:val="none"/>
        </w:rPr>
      </w:pPr>
      <w:r w:rsidDel="00000000" w:rsidR="00000000" w:rsidRPr="00000000">
        <w:rPr>
          <w:rtl w:val="0"/>
        </w:rPr>
        <w:t xml:space="preserve">Poner a disposición del público en línea y de fácil acceso, en un formato de datos abiertos reutilizable para el escrutinio público, información oportuna, completa y detallada sobre actividades de cabildeo e influencia.</w:t>
      </w:r>
    </w:p>
    <w:p w:rsidR="00000000" w:rsidDel="00000000" w:rsidP="00000000" w:rsidRDefault="00000000" w:rsidRPr="00000000" w14:paraId="0000004C">
      <w:pPr>
        <w:numPr>
          <w:ilvl w:val="0"/>
          <w:numId w:val="17"/>
        </w:numPr>
        <w:ind w:left="1440" w:hanging="360"/>
        <w:rPr>
          <w:u w:val="none"/>
        </w:rPr>
      </w:pPr>
      <w:r w:rsidDel="00000000" w:rsidR="00000000" w:rsidRPr="00000000">
        <w:rPr>
          <w:rtl w:val="0"/>
        </w:rPr>
        <w:t xml:space="preserve">Implementar marcos de transparencia e integridad para todos aquellos que asesoran al gobierno, en particular los grupos asesores y de expertos.</w:t>
      </w:r>
    </w:p>
    <w:p w:rsidR="00000000" w:rsidDel="00000000" w:rsidP="00000000" w:rsidRDefault="00000000" w:rsidRPr="00000000" w14:paraId="0000004D">
      <w:pPr>
        <w:numPr>
          <w:ilvl w:val="0"/>
          <w:numId w:val="17"/>
        </w:numPr>
        <w:ind w:left="1440" w:hanging="360"/>
        <w:rPr>
          <w:u w:val="none"/>
        </w:rPr>
      </w:pPr>
      <w:r w:rsidDel="00000000" w:rsidR="00000000" w:rsidRPr="00000000">
        <w:rPr>
          <w:rtl w:val="0"/>
        </w:rPr>
        <w:t xml:space="preserve">Promover un marco de integridad pública destinado a garantizar la integridad de los actores que ejercen cabildeo e influencia, incluyendo empresas, asociaciones empresariales y comerciales, consultoras y bufetes de abogados, organizaciones no gubernamentales, centros de investigación, organismos de investigación y otras organizaciones que participan en actividades de cabildeo e influencia.</w:t>
      </w:r>
    </w:p>
    <w:p w:rsidR="00000000" w:rsidDel="00000000" w:rsidP="00000000" w:rsidRDefault="00000000" w:rsidRPr="00000000" w14:paraId="0000004E">
      <w:pPr>
        <w:numPr>
          <w:ilvl w:val="0"/>
          <w:numId w:val="17"/>
        </w:numPr>
        <w:ind w:left="1440" w:hanging="360"/>
        <w:rPr>
          <w:u w:val="none"/>
        </w:rPr>
      </w:pPr>
      <w:r w:rsidDel="00000000" w:rsidR="00000000" w:rsidRPr="00000000">
        <w:rPr>
          <w:rtl w:val="0"/>
        </w:rPr>
        <w:t xml:space="preserve">Establecer un marco de integridad pública para funcionarios públicos adaptado a los riesgos relacionados con las actividades de cabildeo e influencia.  Garantizar que los riesgos de conflicto de intereses que plantean las personas que entran y salen del sector público, desde y hacia los sectores regulados por el gobierno, se mitiguen adecuadamente (véase el Capítulo 2).</w:t>
      </w:r>
    </w:p>
    <w:p w:rsidR="00000000" w:rsidDel="00000000" w:rsidP="00000000" w:rsidRDefault="00000000" w:rsidRPr="00000000" w14:paraId="0000004F">
      <w:pPr>
        <w:numPr>
          <w:ilvl w:val="0"/>
          <w:numId w:val="17"/>
        </w:numPr>
        <w:ind w:left="1440" w:hanging="360"/>
        <w:rPr>
          <w:u w:val="none"/>
        </w:rPr>
      </w:pPr>
      <w:r w:rsidDel="00000000" w:rsidR="00000000" w:rsidRPr="00000000">
        <w:rPr>
          <w:rtl w:val="0"/>
        </w:rPr>
        <w:t xml:space="preserve">Fortalecer la transparencia y la integridad en la financiación de los partidos políticos y las campañas electorales (véase el Capítulo 9).</w:t>
      </w:r>
    </w:p>
    <w:p w:rsidR="00000000" w:rsidDel="00000000" w:rsidP="00000000" w:rsidRDefault="00000000" w:rsidRPr="00000000" w14:paraId="00000050">
      <w:pPr>
        <w:numPr>
          <w:ilvl w:val="0"/>
          <w:numId w:val="17"/>
        </w:numPr>
        <w:ind w:left="1440" w:hanging="360"/>
        <w:rPr>
          <w:u w:val="none"/>
        </w:rPr>
      </w:pPr>
      <w:r w:rsidDel="00000000" w:rsidR="00000000" w:rsidRPr="00000000">
        <w:rPr>
          <w:rtl w:val="0"/>
        </w:rPr>
        <w:t xml:space="preserve">Garantizar la existencia de una función de supervisión de las actividades de cabildeo e influencia, con la capacidad de hacer cumplir las políticas y regulaciones, y de supervisar y promover su implementación.</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7. En la República Dominicana, una sociedad civil vibrante ha surgido progresivamente desde 1978, tras la transferencia pacífica del poder al Partido Revolucionario Dominicano (PRD), que marcó el fin de décadas de gobierno autoritario. Esta transición democrática, junto con las reformas implementadas desde 1996 para construir una economía de mercado sostenible y promover una mayor transparencia en la vida cívica, ha impulsado el crecimiento y la consolidación de sindicatos, organizaciones de derechos humanos y otras organizaciones no gubernamentales (Bertelsmann Stiftung, 2024 [8]; Freedom House, 2024 [9]).</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8. La representación de intereses como acto legítimo de participación política se fundamenta en la Constitución, que fue revisada significativamente en 2010 y establece derechos fundamentales que implícitamente habilitan actividades similares a las de cabildeo. En particular, los artículos 47 a 49 garantizan los derechos civiles y políticos fundamentales que permiten a las personas y grupos organizarse y defender sus intereses, incluyendo la libertad de expresión, asociación y reunión. El artículo 22 reconoce explícitamente el derecho de los ciudadanos a participar en los asuntos nacionales a través de mecanismos como el derecho de petición, la iniciativa legislativa popular, los referendos y el acceso a la información pública. Además, los artículos 138 y 139 consagran los principios de transparencia y rendición de cuentas en la administración pública. En conjunto, estas disposiciones crean un marco constitucional que permite a diversos grupos de interés interactuar con funcionarios públicos e influir en las políticas públicas (Presidencia de la República Dominicana, 2024 [10])</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9. Desde la promulgación de la Constitución en enero de 2010, la República Dominicana ha fortalecido sus políticas y marcos jurídicos regulatorios destinados a promover la transparencia y la integridad en la toma de decisiones públicas, así como a fomentar la participación ciudadana (como se detalla en la Tabla 1.1 del Capítulo 1).</w:t>
      </w:r>
    </w:p>
    <w:p w:rsidR="00000000" w:rsidDel="00000000" w:rsidP="00000000" w:rsidRDefault="00000000" w:rsidRPr="00000000" w14:paraId="00000057">
      <w:pPr>
        <w:ind w:left="0" w:firstLine="0"/>
        <w:rPr/>
      </w:pPr>
      <w:r w:rsidDel="00000000" w:rsidR="00000000" w:rsidRPr="00000000">
        <w:rPr>
          <w:rtl w:val="0"/>
        </w:rPr>
        <w:t xml:space="preserve">Como resultado de estas reformas, la influencia de la sociedad civil ha aumentado significativamente en los últimos años.Las cooperativas, las organizaciones comunitarias y las sociedades de ayuda mutua existen desde hace tiempo tanto en zonas rurales como urbanas, y los grupos de la sociedad civil, los trabajadores y las empresas están ahora bastante bien organizados. Durante la última década, su papel ha sido particularmente visible en temas relacionados con la democracia, incluyendo las reformas constitucionales y la denuncia de la corrupción. En regiones afectadas por operaciones mineras extranjeras, como Pueblo Viejo y Loma Miranda, las comunidades rurales se han movilizado eficazmente al margen de los partidos políticos tradicionales. También han surgido grupos ad hoc, especialmente entre las generaciones más jóvenes. Incluso ONG sin una afiliación masiva han logrado llegar a un público amplio a través de las redes sociales y plataformas populares de radio y televisión (Bertelsmann Stiftung, 2024 [8]).</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10. También han surgido importantes ONG dedicadas a la democracia y los derechos humanos, como Participación Ciudadana, organización cívica no partidista fundada en 1993, y FINJUS (Fundación Institucionalidad y Justicia), fundación prodemocracia establecida en 1988. Estas organizaciones desempeñan un papel activo en el discurso público, contribuyendo regularmente a los debates sobre reformas legislativas, procedimientos judiciales y cambios constitucionales. También participan activamente en el seguimiento de las nominaciones a los tribunales superiores y las fiscalías, así como en la supervisión de los procesos electorales.</w:t>
      </w:r>
    </w:p>
    <w:p w:rsidR="00000000" w:rsidDel="00000000" w:rsidP="00000000" w:rsidRDefault="00000000" w:rsidRPr="00000000" w14:paraId="0000005B">
      <w:pPr>
        <w:rPr/>
      </w:pPr>
      <w:r w:rsidDel="00000000" w:rsidR="00000000" w:rsidRPr="00000000">
        <w:rPr>
          <w:rtl w:val="0"/>
        </w:rPr>
        <w:t xml:space="preserve">11. Las asociaciones empresariales cuentan con una sólida financiación e incluyen organizaciones como el Consejo Nacional de las Empresas Privadas (CONEP), que representa a más de 80 empresas y 70 asociaciones. El periodismo de investigación está cobrando fuerza y ​​ejerciendo una influencia cada vez mayor en la vida política, en particular a través de denuncias de alto impacto sobre la corrupción. Su creciente audiencia y visibilidad han fortalecido su papel como mecanismo clave de rendición de cuentas en el panorama democrático (Bertelsmann Stiftung, 2024 [8]; Freedom House, 2024 [9]).</w:t>
      </w:r>
    </w:p>
    <w:p w:rsidR="00000000" w:rsidDel="00000000" w:rsidP="00000000" w:rsidRDefault="00000000" w:rsidRPr="00000000" w14:paraId="0000005C">
      <w:pPr>
        <w:rPr/>
      </w:pPr>
      <w:r w:rsidDel="00000000" w:rsidR="00000000" w:rsidRPr="00000000">
        <w:rPr>
          <w:rtl w:val="0"/>
        </w:rPr>
        <w:t xml:space="preserve">12. La consulta con la sociedad civil y otras partes interesadas para generar consenso en torno a reformas clave ha mostrado indicios de una mejora significativa. Representantes de organizaciones empresariales y de la sociedad civil entrevistados para este informe destacaron su participación en las comisiones de trabajo del Congreso como una práctica positiva. Un avance notable se produjo en 2021, cuando el presidente Luis Abinader estableció el primer Foro Multiactor para el Gobierno Abierto de la República Dominicana. Concebido como un espacio permanente de diálogo y colaboración entre el gobierno y la sociedad civil, el Foro representa una importante innovación institucional destinada a fomentar la transparencia, la gobernanza participativa y la formulación de políticas inclusivas. Esto marca un cambio hacia una participación más estructurada y continua con actores no gubernamentales en el diseño, la implementación y el monitoreo de políticas públicas (Gobierno Dominicano, 2021 [11]).</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13. Sin embargo, en la práctica, la capacidad de los grupos de interés para influir en las políticas varía significativamente, y la República Dominicana sigue enfrentando importantes desafíos para garantizar una formulación de políticas inclusiva y transparente. Una sociedad civil profundamente arraigada, independiente y no partidista aún no se ha consolidado plenamente, ya que décadas de dominio estatal y partidista han cooptado históricamente a los grupos ciudadanos y a los medios de comunicación.</w:t>
      </w:r>
    </w:p>
    <w:p w:rsidR="00000000" w:rsidDel="00000000" w:rsidP="00000000" w:rsidRDefault="00000000" w:rsidRPr="00000000" w14:paraId="0000005F">
      <w:pPr>
        <w:rPr/>
      </w:pPr>
      <w:r w:rsidDel="00000000" w:rsidR="00000000" w:rsidRPr="00000000">
        <w:rPr>
          <w:rtl w:val="0"/>
        </w:rPr>
        <w:t xml:space="preserve">Como resultado, la participación de la sociedad civil a menudo se inclina más hacia la consulta simbólica o la cooptación que hacia una participación o influencia significativa en el proceso político. Las autoridades ejecutivas y legislativas aún tienden a mostrar una receptividad limitada a las aportaciones de la sociedad civil en la formulación diaria de políticas. Los sindicatos, con la notable excepción de los que representan a los trabajadores del transporte y al profesorado, siguen siendo relativamente débiles y fragmentados (Bertelsmann Stiftung, 2024 [8]; Freedom House, 2024 [9]).</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14. Lo más importante es que persiste la preocupación por la influencia indebida, especialmente en sectores como la infraestructura y la construcción pública, que se consideran vulnerables a la opacidad en la toma de decisiones. Las barreras a la competencia en el mercado siguen planteando un desafío, ya que las políticas públicas con frecuencia favorecen a las empresas establecidas, los grandes terratenientes y las élites empresariales deseosas de preservar el statu quo, en particular en sectores clave como el turismo, la extracción de minerales y la producción azucarera, a la vez que aumentan los costos de entrada para los nuevos participantes en el mercado (Bertelsmann Stiftung, 2024 [8]). Los representantes de la sociedad civil entrevistados para este informe también destacaron la desigualdad en el acceso a los procesos de toma de decisiones, señalando que las empresas internacionales y los actores profesionales del cabildeo, debido a su experiencia y relaciones consolidadas, suelen estar mejor posicionados para influir en los funcionarios públicos.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15. Estas dinámicas plantean serias preocupaciones sobre la integridad de los procesos públicos de toma de decisiones y la posible captura de las políticas públicas. En este contexto, varios indicadores de gobernanza y resultados de encuestas muestran que los dominicanos perciben que las políticas públicas pueden estar indebidamente influenciadas por intereses creados o que grupos poderosos ejercen demasiada influencia en los resultados de los procesos públicos de toma de decisiones. Por ejemplo, los resultados del Latinobarómetro muestran que, en 2023, el 64 % de los ciudadanos de la República Dominicana percibía que unos pocos grupos poderosos gobiernan su país, aunque esta proporción se mantiene por debajo del promedio de ALC (Figura 8.1).</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bCs w:val="1"/>
          <w:color w:val="3c78d8"/>
          <w:rtl w:val="0"/>
        </w:rPr>
        <w:t xml:space="preserve">Figura 8.1. Los ciudadanos de República Dominicana perciben que unos pocos grupos poderosos gobiernan su país.</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Se les preguntó a los encuestados: “En general, ¿diría usted que su país está gobernado por unos pocos grupos poderosos que buscan su propio beneficio? ¿O está gobernado por el bien común?”</w:t>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drawing>
          <wp:inline distB="114300" distT="114300" distL="114300" distR="114300">
            <wp:extent cx="5943600" cy="25908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sz w:val="18"/>
          <w:szCs w:val="18"/>
        </w:rPr>
      </w:pPr>
      <w:r w:rsidDel="00000000" w:rsidR="00000000" w:rsidRPr="00000000">
        <w:rPr>
          <w:sz w:val="18"/>
          <w:szCs w:val="18"/>
          <w:rtl w:val="0"/>
        </w:rPr>
        <w:t xml:space="preserve">Nota: Esta encuesta se realizó en 18 países de la región (Argentina, Bolivia, Brasil, Colombia, Costa Rica, Chile, Ecuador, El Salvador, Guatemala, Honduras, México, Nicaragua, Panamá, Paraguay, Perú, República Dominicana, Uruguay y Venezuela).</w:t>
      </w:r>
    </w:p>
    <w:p w:rsidR="00000000" w:rsidDel="00000000" w:rsidP="00000000" w:rsidRDefault="00000000" w:rsidRPr="00000000" w14:paraId="0000006B">
      <w:pPr>
        <w:rPr>
          <w:sz w:val="18"/>
          <w:szCs w:val="18"/>
        </w:rPr>
      </w:pPr>
      <w:r w:rsidDel="00000000" w:rsidR="00000000" w:rsidRPr="00000000">
        <w:rPr>
          <w:sz w:val="18"/>
          <w:szCs w:val="18"/>
          <w:rtl w:val="0"/>
        </w:rPr>
        <w:t xml:space="preserve">Fuente: Latinobarómetro (2024), </w:t>
      </w:r>
      <w:hyperlink r:id="rId8">
        <w:r w:rsidDel="00000000" w:rsidR="00000000" w:rsidRPr="00000000">
          <w:rPr>
            <w:color w:val="1155cc"/>
            <w:sz w:val="18"/>
            <w:szCs w:val="18"/>
            <w:u w:val="single"/>
            <w:rtl w:val="0"/>
          </w:rPr>
          <w:t xml:space="preserve">https://www.latinobarometro.org/latOnline.jsp.</w:t>
        </w:r>
      </w:hyperlink>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16. Los conceptos de "lobby" y "representación de intereses" también suelen asociarse con la corrupción, la colusión, la influencia indebida o prácticas poco éticas, como el soborno o el uso de relaciones personales para ganarse el favor de funcionarios públicos. Varias partes interesadas entrevistadas para este informe, incluyendo empresas y organizaciones de la sociedad civil, utilizaron el concepto "el hombre del maletín", que encapsula en el discurso público dominicano la idea de intermediarios corruptos ocultos cuyas operaciones, imposibles de rastrear, desestabilizan la gobernanza, socavan la transparencia e impactan negativamente la calidad de los procesos legislativos. Esta figura se refiere a un individuo anónimo, a menudo sin rostro, que opera desde la sombra y ejerce una poderosa influencia sobre funcionarios públicos a través de medios clandestinos. Estos actores se describen como más poderosos que el propio Estado, capaces de influir en decisiones de gran importancia, desde sentencias judiciales hasta la legislación nacional. Fomentan la influencia ilícita comprando silencio y socavando la integridad institucional con apalancamiento financiero, todo ello sin dejar pruebas rastreables y dificultando enormemente el procesamiento (Lístin Diario, 2023 [12]).</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17. Diversos actores entrevistados para este informe solicitaron un estudio exhaustivo de las prácticas de cabildeo e influencia en el país para comprender mejor su alcance, riesgos y necesidades regulatorias. El Indicador de Integridad Pública de la OCDE para el Principio 13 de la Recomendación de la OCDE sobre Integridad Pública confirma que se necesitan reformas para fortalecer el marco regulatorio del cabildeo, ya que la República Dominicana no cumple con los criterios de regulación ni de práctica en materia de cabildeo, en comparación con el promedio de la OCDE de 44% y 37%, respectivamente (Figura 8.2) (OCDE, 2025 [13]).</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bCs w:val="1"/>
          <w:color w:val="3c78d8"/>
        </w:rPr>
      </w:pPr>
      <w:r w:rsidDel="00000000" w:rsidR="00000000" w:rsidRPr="00000000">
        <w:rPr>
          <w:b w:val="1"/>
          <w:bCs w:val="1"/>
          <w:color w:val="3c78d8"/>
          <w:rtl w:val="0"/>
        </w:rPr>
        <w:t xml:space="preserve">Figura 8.2. Indicador de Integridad Pública de la OCDE para el cabildeo en la República Dominicana (2024) y comparación entre países.</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drawing>
          <wp:inline distB="114300" distT="114300" distL="114300" distR="114300">
            <wp:extent cx="5943600" cy="283210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8321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rPr>
          <w:sz w:val="18"/>
          <w:szCs w:val="18"/>
        </w:rPr>
      </w:pPr>
      <w:r w:rsidDel="00000000" w:rsidR="00000000" w:rsidRPr="00000000">
        <w:rPr>
          <w:sz w:val="18"/>
          <w:szCs w:val="18"/>
          <w:rtl w:val="0"/>
        </w:rPr>
        <w:t xml:space="preserve">Nota: Este conjunto de indicadores abarca la normativa y las prácticas relacionadas con el cabildeo. Los criterios provienen de los conjuntos de datos de los Indicadores de Integridad Pública de la OCDE sobre “Marco regulatorio para la transparencia en el cabildeo, conflictos de intereses y financiamiento político” y “Transparencia de las actividades de cabildeo y prevención de influencias indebidas”. Los datos están disponibles para 2022 y 2023 para los miembros de la OCDE y para 2024 para los no miembros. Los criterios para cada indicador fueron establecidos por el Grupo de Trabajo de la OCDE sobre Integridad Pública y Anticorrupción en el Gobierno (WP-PIAC).</w:t>
      </w:r>
    </w:p>
    <w:p w:rsidR="00000000" w:rsidDel="00000000" w:rsidP="00000000" w:rsidRDefault="00000000" w:rsidRPr="00000000" w14:paraId="00000076">
      <w:pPr>
        <w:rPr>
          <w:sz w:val="18"/>
          <w:szCs w:val="18"/>
        </w:rPr>
      </w:pPr>
      <w:r w:rsidDel="00000000" w:rsidR="00000000" w:rsidRPr="00000000">
        <w:rPr>
          <w:sz w:val="18"/>
          <w:szCs w:val="18"/>
          <w:rtl w:val="0"/>
        </w:rPr>
        <w:t xml:space="preserve">Fuente: Indicadores de Integridad Pública de la OCDE, </w:t>
      </w:r>
      <w:hyperlink r:id="rId10">
        <w:r w:rsidDel="00000000" w:rsidR="00000000" w:rsidRPr="00000000">
          <w:rPr>
            <w:color w:val="1155cc"/>
            <w:sz w:val="18"/>
            <w:szCs w:val="18"/>
            <w:u w:val="single"/>
            <w:rtl w:val="0"/>
          </w:rPr>
          <w:t xml:space="preserve">https://oecd-public-integrity-indicators.org/</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18. Estas puntuaciones se deben a que la República Dominicana carece actualmente de un marco legal específico que defina el cabildeo y sus actividades, y que pueda garantizar la transparencia en este ámbito. Más allá de las definiciones claras de cabildeo y cabilderos, la República Dominicana también carece de reglas de empleo pre y post público tanto para cabilderos como para funcionarios públicos (cubiertos en el Capítulo 2), así como de requisitos sólidos de transparencia de propiedad efectiva (Tabla 8.1). De hecho, incluso cuando los cabilderos están claramente definidos y sujetos a requisitos de transparencia, la identidad de una entidad legal puede no revelar a su propietario real o los beneficiarios finales de las actividades de cabildeo, lo que subraya la necesidad de divulgación pública de información adecuada, precisa y actualizada sobre la propiedad y la propiedad efectiva (OCDE, 2010 [2]). De manera similar, sin las salvaguardas adecuadas, las transiciones entre los sectores público y privado pueden dar lugar a una influencia indebida, lo que destaca la necesidad de medidas de integridad que equilibren la movilidad de los beneficiarios con la protección del interés público (OCDE, 2003 [6]; OCDE, 2020 [14]).</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rPr>
          <w:b w:val="1"/>
          <w:bCs w:val="1"/>
          <w:color w:val="3c78d8"/>
        </w:rPr>
      </w:pPr>
      <w:r w:rsidDel="00000000" w:rsidR="00000000" w:rsidRPr="00000000">
        <w:rPr>
          <w:b w:val="1"/>
          <w:bCs w:val="1"/>
          <w:color w:val="3c78d8"/>
          <w:rtl w:val="0"/>
        </w:rPr>
        <w:t xml:space="preserve">Tabla 8.1. Indicador de Integridad Pública de la OCDE para el cabildeo en República Dominicana (2025) – Regulación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República Dominicana no cumple con ningún criterio de regulación.</w:t>
      </w:r>
    </w:p>
    <w:p w:rsidR="00000000" w:rsidDel="00000000" w:rsidP="00000000" w:rsidRDefault="00000000" w:rsidRPr="00000000" w14:paraId="0000007D">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1650"/>
        <w:gridCol w:w="1245"/>
        <w:gridCol w:w="1320"/>
        <w:tblGridChange w:id="0">
          <w:tblGrid>
            <w:gridCol w:w="5145"/>
            <w:gridCol w:w="1650"/>
            <w:gridCol w:w="1245"/>
            <w:gridCol w:w="1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bCs w:val="1"/>
              </w:rPr>
            </w:pPr>
            <w:r w:rsidDel="00000000" w:rsidR="00000000" w:rsidRPr="00000000">
              <w:rPr>
                <w:b w:val="1"/>
                <w:bCs w:val="1"/>
                <w:rtl w:val="0"/>
              </w:rPr>
              <w:t xml:space="preserve">Criterios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b w:val="1"/>
                <w:bCs w:val="1"/>
              </w:rPr>
            </w:pPr>
            <w:r w:rsidDel="00000000" w:rsidR="00000000" w:rsidRPr="00000000">
              <w:rPr>
                <w:b w:val="1"/>
                <w:bCs w:val="1"/>
                <w:rtl w:val="0"/>
              </w:rPr>
              <w:t xml:space="preserve">República Dominicana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bCs w:val="1"/>
              </w:rPr>
            </w:pPr>
            <w:r w:rsidDel="00000000" w:rsidR="00000000" w:rsidRPr="00000000">
              <w:rPr>
                <w:b w:val="1"/>
                <w:bCs w:val="1"/>
                <w:rtl w:val="0"/>
              </w:rPr>
              <w:t xml:space="preserve">OCDE</w:t>
            </w:r>
          </w:p>
          <w:p w:rsidR="00000000" w:rsidDel="00000000" w:rsidP="00000000" w:rsidRDefault="00000000" w:rsidRPr="00000000" w14:paraId="00000081">
            <w:pPr>
              <w:widowControl w:val="0"/>
              <w:spacing w:line="240" w:lineRule="auto"/>
              <w:rPr>
                <w:b w:val="1"/>
                <w:bCs w:val="1"/>
              </w:rPr>
            </w:pPr>
            <w:r w:rsidDel="00000000" w:rsidR="00000000" w:rsidRPr="00000000">
              <w:rPr>
                <w:b w:val="1"/>
                <w:bCs w:val="1"/>
                <w:rtl w:val="0"/>
              </w:rPr>
              <w:t xml:space="preserve">promedio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ALC</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promedio</w:t>
            </w:r>
          </w:p>
        </w:tc>
      </w:tr>
      <w:tr>
        <w:trPr>
          <w:cantSplit w:val="0"/>
          <w:trHeight w:val="1097.775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Las actividades de cabildeo están definidas en el marco regulatorio, incluyendo qué actores se consideran cabilderos.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 El marco regulatorio establece periodos de reflexión para funcionarios públicos.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El marco regulatorio establece periodos de reflexión para cabilderos.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Las sanciones por incumplimiento de las normas de transparencia e integridad en el cabildeo están definidas y son proporcionales a la gravedad de la infracción.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 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Las normas sobre titularidad real obligan a la divulgación de datos empresariales para identificar a los propietarios de las empresas, establecer un registro central y hacer accesible la información al público.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0000"/>
              </w:rPr>
            </w:pPr>
            <w:r w:rsidDel="00000000" w:rsidR="00000000" w:rsidRPr="00000000">
              <w:rPr>
                <w:b w:val="1"/>
                <w:bCs w:val="1"/>
                <w:color w:val="ff0000"/>
                <w:rtl w:val="0"/>
              </w:rPr>
              <w:t xml:space="preserve">O</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25%</w:t>
            </w:r>
          </w:p>
        </w:tc>
      </w:tr>
    </w:tbl>
    <w:p w:rsidR="00000000" w:rsidDel="00000000" w:rsidP="00000000" w:rsidRDefault="00000000" w:rsidRPr="00000000" w14:paraId="0000009B">
      <w:pPr>
        <w:rPr>
          <w:sz w:val="18"/>
          <w:szCs w:val="18"/>
        </w:rPr>
      </w:pPr>
      <w:r w:rsidDel="00000000" w:rsidR="00000000" w:rsidRPr="00000000">
        <w:rPr>
          <w:sz w:val="18"/>
          <w:szCs w:val="18"/>
          <w:rtl w:val="0"/>
        </w:rPr>
        <w:t xml:space="preserve">Nota: Los criterios provienen de los conjuntos de datos de los Indicadores de Integridad Pública de la OCDE sobre “Marco regulatorio para la transparencia en el cabildeo, conflictos de intereses y financiamiento político” y “Transparencia de las actividades de cabildeo y prevención de influencias indebidas”.</w:t>
      </w:r>
    </w:p>
    <w:p w:rsidR="00000000" w:rsidDel="00000000" w:rsidP="00000000" w:rsidRDefault="00000000" w:rsidRPr="00000000" w14:paraId="0000009C">
      <w:pPr>
        <w:rPr>
          <w:sz w:val="18"/>
          <w:szCs w:val="18"/>
        </w:rPr>
      </w:pPr>
      <w:r w:rsidDel="00000000" w:rsidR="00000000" w:rsidRPr="00000000">
        <w:rPr>
          <w:sz w:val="18"/>
          <w:szCs w:val="18"/>
          <w:rtl w:val="0"/>
        </w:rPr>
        <w:t xml:space="preserve">Fuente: Indicadores de Integridad Pública de la OCDE, </w:t>
      </w:r>
      <w:hyperlink r:id="rId11">
        <w:r w:rsidDel="00000000" w:rsidR="00000000" w:rsidRPr="00000000">
          <w:rPr>
            <w:color w:val="1155cc"/>
            <w:sz w:val="18"/>
            <w:szCs w:val="18"/>
            <w:u w:val="single"/>
            <w:rtl w:val="0"/>
          </w:rPr>
          <w:t xml:space="preserve">https://oecd-public-integrity-indicators.org/</w:t>
        </w:r>
      </w:hyperlink>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19. Debido a la ausencia de un marco regulatorio integral sobre cabildeo, la República Dominicana no cuenta con herramientas de transparencia, como un registro de cabildeo para proporcionar información sobre las actividades de cabildeo, ni con estándares de integridad que rijan las interacciones entre funcionarios públicos y cabilderos, ni con una función de supervisión responsable de supervisar la transparencia de las actividades de cabildeo (Tabla 8.2).</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bCs w:val="1"/>
          <w:color w:val="3c78d8"/>
        </w:rPr>
      </w:pPr>
      <w:r w:rsidDel="00000000" w:rsidR="00000000" w:rsidRPr="00000000">
        <w:rPr>
          <w:b w:val="1"/>
          <w:bCs w:val="1"/>
          <w:color w:val="3c78d8"/>
          <w:rtl w:val="0"/>
        </w:rPr>
        <w:t xml:space="preserve">Tabla 8.2. Indicador de Integridad Pública de la OCDE para el cabildeo en la República Dominicana (2025) – Práctica</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La República Dominicana no cuenta con criterios para la práctica</w:t>
      </w:r>
    </w:p>
    <w:p w:rsidR="00000000" w:rsidDel="00000000" w:rsidP="00000000" w:rsidRDefault="00000000" w:rsidRPr="00000000" w14:paraId="000000A3">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1830"/>
        <w:gridCol w:w="1770"/>
        <w:gridCol w:w="1440"/>
        <w:tblGridChange w:id="0">
          <w:tblGrid>
            <w:gridCol w:w="4320"/>
            <w:gridCol w:w="1830"/>
            <w:gridCol w:w="1770"/>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Criterios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República Dominicana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OECD Promedio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ALC</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Promedio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Una función supervisora ​​del gobierno central supervisa la transparencia de las actividades de cabildeo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color w:val="ff0000"/>
              </w:rPr>
            </w:pPr>
            <w:r w:rsidDel="00000000" w:rsidR="00000000" w:rsidRPr="00000000">
              <w:rPr>
                <w:b w:val="1"/>
                <w:bCs w:val="1"/>
                <w:color w:val="ff00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 17%</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El código de conducta que regula las interacciones entre funcionarios públicos y cabilderos se basa en ejemplos prácticos de comportamientos y situaciones de riesgo o indeseables.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color w:val="ff0000"/>
              </w:rPr>
            </w:pPr>
            <w:r w:rsidDel="00000000" w:rsidR="00000000" w:rsidRPr="00000000">
              <w:rPr>
                <w:b w:val="1"/>
                <w:bCs w:val="1"/>
                <w:color w:val="ff00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34%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Las herramientas de registro de cabilderos son accesibles para todos y detallan el procedimiento de registro paso a paso para ayudar al solicitante.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color w:val="ff0000"/>
              </w:rPr>
            </w:pPr>
            <w:r w:rsidDel="00000000" w:rsidR="00000000" w:rsidRPr="00000000">
              <w:rPr>
                <w:b w:val="1"/>
                <w:bCs w:val="1"/>
                <w:color w:val="ff00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El registro de cabildeo permite clasificar la información recopilada, como mínimo, por nombre del cabildero, empresa u organización, ámbito de intervención y legislación o regulación en cuestión.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color w:val="ff0000"/>
              </w:rPr>
            </w:pPr>
            <w:r w:rsidDel="00000000" w:rsidR="00000000" w:rsidRPr="00000000">
              <w:rPr>
                <w:b w:val="1"/>
                <w:bCs w:val="1"/>
                <w:color w:val="ff00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 8%</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La información que los cabilderos divulgan en el registro incluye su nombre, organización, ámbito de intervención y tipo de actividades de cabildeo.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color w:val="ff0000"/>
              </w:rPr>
            </w:pPr>
            <w:r w:rsidDel="00000000" w:rsidR="00000000" w:rsidRPr="00000000">
              <w:rPr>
                <w:b w:val="1"/>
                <w:bCs w:val="1"/>
                <w:color w:val="ff00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 8%</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La información que los cabilderos divulgan en el registro incluye el presupuesto/gastos de las actividades de cabildeo y las leyes y regulaciones en cuestión.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color w:val="ff0000"/>
              </w:rPr>
            </w:pPr>
            <w:r w:rsidDel="00000000" w:rsidR="00000000" w:rsidRPr="00000000">
              <w:rPr>
                <w:b w:val="1"/>
                <w:bCs w:val="1"/>
                <w:color w:val="ff00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El registro de lobby está disponible en línea.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color w:val="ff0000"/>
              </w:rPr>
            </w:pPr>
            <w:r w:rsidDel="00000000" w:rsidR="00000000" w:rsidRPr="00000000">
              <w:rPr>
                <w:b w:val="1"/>
                <w:bCs w:val="1"/>
                <w:color w:val="ff00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Se realizó al menos una investigación por incumplimiento de la regulación de las actividades de lobby o por divulgación incompleta o errónea de información durante el último año calendario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color w:val="ff0000"/>
              </w:rPr>
            </w:pPr>
            <w:r w:rsidDel="00000000" w:rsidR="00000000" w:rsidRPr="00000000">
              <w:rPr>
                <w:b w:val="1"/>
                <w:bCs w:val="1"/>
                <w:color w:val="ff00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Existe un registro de beneficiarios finales de entidades corporativas operativo y accesible al público.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8%</w:t>
            </w:r>
          </w:p>
        </w:tc>
      </w:tr>
    </w:tbl>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sz w:val="18"/>
          <w:szCs w:val="18"/>
        </w:rPr>
      </w:pPr>
      <w:r w:rsidDel="00000000" w:rsidR="00000000" w:rsidRPr="00000000">
        <w:rPr>
          <w:sz w:val="18"/>
          <w:szCs w:val="18"/>
          <w:rtl w:val="0"/>
        </w:rPr>
        <w:t xml:space="preserve">Nota: Los criterios provienen de los conjuntos de datos de los Indicadores de Integridad Pública de la OCDE sobre “Marco regulatorio para la transparencia en el cabildeo, conflictos de intereses y financiamiento político” y “Transparencia de las actividades de cabildeo y prevención de la influencia indebida”.</w:t>
      </w:r>
    </w:p>
    <w:p w:rsidR="00000000" w:rsidDel="00000000" w:rsidP="00000000" w:rsidRDefault="00000000" w:rsidRPr="00000000" w14:paraId="000000D3">
      <w:pPr>
        <w:rPr>
          <w:sz w:val="18"/>
          <w:szCs w:val="18"/>
        </w:rPr>
      </w:pPr>
      <w:r w:rsidDel="00000000" w:rsidR="00000000" w:rsidRPr="00000000">
        <w:rPr>
          <w:sz w:val="18"/>
          <w:szCs w:val="18"/>
          <w:rtl w:val="0"/>
        </w:rPr>
        <w:t xml:space="preserve">Fuente: Indicadores de Integridad Pública de la OCDE, </w:t>
      </w:r>
      <w:hyperlink r:id="rId12">
        <w:r w:rsidDel="00000000" w:rsidR="00000000" w:rsidRPr="00000000">
          <w:rPr>
            <w:color w:val="1155cc"/>
            <w:sz w:val="18"/>
            <w:szCs w:val="18"/>
            <w:u w:val="single"/>
            <w:rtl w:val="0"/>
          </w:rPr>
          <w:t xml:space="preserve">https://oecd-public-integrity-indicators.org/</w:t>
        </w:r>
      </w:hyperlink>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20. En última instancia, estos vacíos regulatorios y deficiencias en la implementación pueden contribuir a perpetuar el ciclo de influencia indebida, ya que benefician a los actores dominantes y a los actores maliciosos, permitiéndoles moldear las normas a su favor en detrimento de actores más pequeños y menos poderosos. En consecuencia, este capítulo analiza las fortalezas y oportunidades de mejora con respecto al fortalecimiento de la transparencia y la integridad en el cabildeo público en la República Dominicana y propone recomendaciones específicas según las siguientes prioridades: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0"/>
          <w:numId w:val="10"/>
        </w:numPr>
        <w:ind w:left="720" w:hanging="360"/>
        <w:rPr>
          <w:u w:val="none"/>
        </w:rPr>
      </w:pPr>
      <w:r w:rsidDel="00000000" w:rsidR="00000000" w:rsidRPr="00000000">
        <w:rPr>
          <w:rtl w:val="0"/>
        </w:rPr>
        <w:t xml:space="preserve">Construir un marco coherente para la transparencia y la integridad en las actividades de cabildeo e influencia, con el objetivo de influir en los procesos de toma de decisiones gubernamentales.  </w:t>
      </w:r>
    </w:p>
    <w:p w:rsidR="00000000" w:rsidDel="00000000" w:rsidP="00000000" w:rsidRDefault="00000000" w:rsidRPr="00000000" w14:paraId="000000D8">
      <w:pPr>
        <w:numPr>
          <w:ilvl w:val="0"/>
          <w:numId w:val="10"/>
        </w:numPr>
        <w:ind w:left="720" w:hanging="360"/>
        <w:rPr>
          <w:u w:val="none"/>
        </w:rPr>
      </w:pPr>
      <w:r w:rsidDel="00000000" w:rsidR="00000000" w:rsidRPr="00000000">
        <w:rPr>
          <w:rtl w:val="0"/>
        </w:rPr>
        <w:t xml:space="preserve">Establecer un marco de integridad pública adaptado a los riesgos de las actividades de cabildeo e influencia, tanto para lobistas como para funcionarios públicos.</w:t>
      </w:r>
    </w:p>
    <w:p w:rsidR="00000000" w:rsidDel="00000000" w:rsidP="00000000" w:rsidRDefault="00000000" w:rsidRPr="00000000" w14:paraId="000000D9">
      <w:pPr>
        <w:numPr>
          <w:ilvl w:val="0"/>
          <w:numId w:val="10"/>
        </w:numPr>
        <w:ind w:left="720" w:hanging="360"/>
        <w:rPr>
          <w:u w:val="none"/>
        </w:rPr>
      </w:pPr>
      <w:r w:rsidDel="00000000" w:rsidR="00000000" w:rsidRPr="00000000">
        <w:rPr>
          <w:rtl w:val="0"/>
        </w:rPr>
        <w:t xml:space="preserve">Garantizar el cumplimiento y la revisión efectivos del marco regulatorio del cabildeo.</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b w:val="1"/>
          <w:bCs w:val="1"/>
          <w:color w:val="3c78d8"/>
          <w:rtl w:val="0"/>
        </w:rPr>
        <w:t xml:space="preserve">8.2. Construir un marco coherente para la transparencia y la integridad en las actividades de cabildeo e influencia destinadas a influir en los procesos de toma de decisiones gubernamentales.</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21. Los gobiernos tienen la responsabilidad principal de establecer un marco regulatorio coherente, integral y de cumplimiento obligatorio que fortalezca la transparencia y la integridad en todas las etapas del ciclo de políticas. Cuando sea eficaz, dicho marco reconocerá el cabildeo y otras formas de influencia como formas legítimas de participación política y promoverá la equidad en el ejercicio de la influencia, a la vez que defenderá el derecho de los ciudadanos a comprender los orígenes y los factores que impulsan las decisiones políticas que les afectan. Por lo tanto, las regulaciones sobre cabildeo no deben tener como objetivo prevenir ni reducir dichas actividades de representación de intereses, sino establecer salvaguardias para garantizar que los intereses relevantes estén representados de manera justa en la formulación de políticas y que las actividades de cabildeo se lleven a cabo dentro de los límites de la transparencia y la integridad (OCDE, 2010 [2]).</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22. En los países de la OCDE, el cabildeo, a menudo denominado "representación de intereses", suele regularse mediante marcos específicos que definen conceptos clave como "cabildeo" y "lobistas", establecen requisitos de transparencia e integridad y prevén sanciones proporcionales a la gravedad de las infracciones. En este contexto, esta sección describe recomendaciones clave para establecer un marco regulatorio sobre cabildeo en la República Dominicana. Reconociendo que abordar la influencia indebida derivada de prácticas de cabildeo opacas o manipuladoras requiere un enfoque integral e integrado, la sección va más allá de la creación de una ley o registro de cabildeo independiente e identifica reformas y herramientas complementarias para fortalecer la transparencia y la integridad en las actividades de cabildeo e influencia de manera más amplia. Las salvaguardias relacionadas, como las normas sobre financiamiento político y campañas de terceros, se abordan en el Capítulo 9, mientras que las medidas para gestionar los riesgos de las puertas giratorias entre los sectores público y privado, así como las normas sobre regalos, hospitalidad y otros beneficios ofrecidos a funcionarios públicos, se analizan en el Capítulo 2 y la Sección 8.3.1.</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ind w:left="720" w:firstLine="0"/>
        <w:rPr>
          <w:b w:val="1"/>
          <w:bCs w:val="1"/>
        </w:rPr>
      </w:pPr>
      <w:r w:rsidDel="00000000" w:rsidR="00000000" w:rsidRPr="00000000">
        <w:rPr>
          <w:b w:val="1"/>
          <w:bCs w:val="1"/>
          <w:rtl w:val="0"/>
        </w:rPr>
        <w:t xml:space="preserve">8.2.1. El Gobierno dominicano podría adoptar un marco regulatorio para el cabildeo en la legislación primaria que especifique claramente las definiciones y los requisitos de transparencia para las actividades de cabildeo.</w:t>
      </w:r>
    </w:p>
    <w:p w:rsidR="00000000" w:rsidDel="00000000" w:rsidP="00000000" w:rsidRDefault="00000000" w:rsidRPr="00000000" w14:paraId="000000E2">
      <w:pPr>
        <w:ind w:left="720" w:firstLine="0"/>
        <w:rPr>
          <w:b w:val="1"/>
          <w:bCs w:val="1"/>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23. A nivel de la OCDE, un número cada vez mayor de países está promulgando marcos regulatorios sobre cabildeo a través de legislación primaria, una tendencia creciente que refleja el reconocimiento de la regulación del cabildeo como una herramienta necesaria para fortalecer la integridad pública (Figura 8.3). No obstante, los enfoques nacionales varían considerablemente tanto en la terminología utilizada (por ejemplo, "representación de intereses", "gestión de intereses", "relaciones públicas" o "abogacía") como en la forma y el alcance de los marcos regulatorios, lo que refleja diferentes tradiciones administrativas y políticas. Actualmente, el 63% de los países de la OCDE y el 25% de los países socios cuentan con definiciones formales de las actividades de cabildeo y los actores incluidos en sus marcos. Esto representa un total de 26 países donde las actividades de cabildeo están definidas en el marco regulatorio, incluyendo qué actores se consideran cabilderos (OCDE, de próxima publicación [15]).</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24. Si bien algunas de estas iniciativas han sido reactivas, impulsadas por casos de alto perfil que revelaron una influencia indebida en la toma de decisiones públicas, existe un claro cambio hacia un enfoque más proactivo y preventivo. En América Latina, Chile y Perú se destacan como los únicos países que han adoptado regulaciones integrales sobre cabildeo, consagradas en el derecho primario. Sin embargo, el impulso está cobrando fuerza en toda la región: varios otros países, como México y Brasil, están debatiendo activamente propuestas legislativas para introducir marcos similares.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bCs w:val="1"/>
          <w:color w:val="3c78d8"/>
        </w:rPr>
      </w:pPr>
      <w:r w:rsidDel="00000000" w:rsidR="00000000" w:rsidRPr="00000000">
        <w:rPr>
          <w:b w:val="1"/>
          <w:bCs w:val="1"/>
          <w:color w:val="3c78d8"/>
          <w:rtl w:val="0"/>
        </w:rPr>
        <w:t xml:space="preserve">Figura 8.3. Un número creciente de países está adoptando marcos regulatorios para el cabildeo.</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Países con un marco regulatorio sobre cabildeo que establece definiciones de "cabildeo"/"cabildero".</w:t>
      </w:r>
    </w:p>
    <w:p w:rsidR="00000000" w:rsidDel="00000000" w:rsidP="00000000" w:rsidRDefault="00000000" w:rsidRPr="00000000" w14:paraId="000000EA">
      <w:pPr>
        <w:ind w:left="0" w:firstLine="0"/>
        <w:rPr>
          <w:b w:val="1"/>
          <w:bCs w:val="1"/>
        </w:rPr>
      </w:pPr>
      <w:r w:rsidDel="00000000" w:rsidR="00000000" w:rsidRPr="00000000">
        <w:rPr>
          <w:rtl w:val="0"/>
        </w:rPr>
      </w:r>
    </w:p>
    <w:p w:rsidR="00000000" w:rsidDel="00000000" w:rsidP="00000000" w:rsidRDefault="00000000" w:rsidRPr="00000000" w14:paraId="000000EB">
      <w:pPr>
        <w:ind w:left="0" w:firstLine="0"/>
        <w:rPr>
          <w:b w:val="1"/>
          <w:bCs w:val="1"/>
        </w:rPr>
      </w:pPr>
      <w:r w:rsidDel="00000000" w:rsidR="00000000" w:rsidRPr="00000000">
        <w:rPr>
          <w:b w:val="1"/>
          <w:bCs w:val="1"/>
        </w:rPr>
        <w:drawing>
          <wp:inline distB="114300" distT="114300" distL="114300" distR="114300">
            <wp:extent cx="5943600" cy="2527300"/>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943600" cy="2527300"/>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ind w:left="0" w:firstLine="0"/>
        <w:rPr>
          <w:b w:val="1"/>
          <w:bCs w:val="1"/>
        </w:rPr>
      </w:pPr>
      <w:r w:rsidDel="00000000" w:rsidR="00000000" w:rsidRPr="00000000">
        <w:rPr>
          <w:rtl w:val="0"/>
        </w:rPr>
      </w:r>
    </w:p>
    <w:p w:rsidR="00000000" w:rsidDel="00000000" w:rsidP="00000000" w:rsidRDefault="00000000" w:rsidRPr="00000000" w14:paraId="000000ED">
      <w:pPr>
        <w:rPr>
          <w:sz w:val="18"/>
          <w:szCs w:val="18"/>
        </w:rPr>
      </w:pPr>
      <w:r w:rsidDel="00000000" w:rsidR="00000000" w:rsidRPr="00000000">
        <w:rPr>
          <w:sz w:val="18"/>
          <w:szCs w:val="18"/>
          <w:rtl w:val="0"/>
        </w:rPr>
        <w:t xml:space="preserve">Los datos se basan en los valores de cada país para el criterio "Las actividades de cabildeo se definen en el marco regulatorio, incluyendo qué actores se consideran cabilderos". Los países marcados con un * regulan el cabildeo exclusivamente a través de reglamentos parlamentarios, según los cuales los cabilderos deben registrarse para acceder a una o ambas cámaras del Parlamento. Los países marcados con un (*) limitan la regulación del cabildeo a decretos o regímenes administrativos aplicables únicamente al poder ejecutivo. El resto de los países regulan el cabildeo principalmente a través de legislación primaria, ya sea en leyes específicas para el cabildeo o en leyes más amplias de integridad y transparencia. Estos enfoques no son mutuamente excluyentes, ya que la legislación primaria a veces se complementa con normas específicas para cada rama, como códigos de conducta parlamentarios o requisitos de acceso adicionales.</w:t>
      </w:r>
    </w:p>
    <w:p w:rsidR="00000000" w:rsidDel="00000000" w:rsidP="00000000" w:rsidRDefault="00000000" w:rsidRPr="00000000" w14:paraId="000000EE">
      <w:pPr>
        <w:rPr>
          <w:sz w:val="18"/>
          <w:szCs w:val="18"/>
        </w:rPr>
      </w:pPr>
      <w:r w:rsidDel="00000000" w:rsidR="00000000" w:rsidRPr="00000000">
        <w:rPr>
          <w:sz w:val="18"/>
          <w:szCs w:val="18"/>
          <w:rtl w:val="0"/>
        </w:rPr>
        <w:t xml:space="preserve">No se proporcionan datos de Dinamarca, Islandia, Israel, Japón ni Suiza.</w:t>
      </w:r>
    </w:p>
    <w:p w:rsidR="00000000" w:rsidDel="00000000" w:rsidP="00000000" w:rsidRDefault="00000000" w:rsidRPr="00000000" w14:paraId="000000EF">
      <w:pPr>
        <w:rPr>
          <w:sz w:val="18"/>
          <w:szCs w:val="18"/>
        </w:rPr>
      </w:pPr>
      <w:r w:rsidDel="00000000" w:rsidR="00000000" w:rsidRPr="00000000">
        <w:rPr>
          <w:sz w:val="18"/>
          <w:szCs w:val="18"/>
          <w:rtl w:val="0"/>
        </w:rPr>
        <w:t xml:space="preserve">Fuente: Base de Datos de Indicadores de Integridad Pública de la OCDE.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25. La experiencia de estos países demuestra que una regulación del cabildeo bien diseñada no restringe el espacio cívico ni las actividades legítimas de las partes interesadas. Por el contrario, pueden mejorar la confianza pública al aumentar la transparencia y la conciencia de cómo y quién promueve intereses específicos en el proceso de formulación de políticas (OCDE, 2021).</w:t>
      </w:r>
    </w:p>
    <w:p w:rsidR="00000000" w:rsidDel="00000000" w:rsidP="00000000" w:rsidRDefault="00000000" w:rsidRPr="00000000" w14:paraId="000000F2">
      <w:pPr>
        <w:rPr/>
      </w:pPr>
      <w:r w:rsidDel="00000000" w:rsidR="00000000" w:rsidRPr="00000000">
        <w:rPr>
          <w:rtl w:val="0"/>
        </w:rPr>
        <w:t xml:space="preserve">26. Por lo tanto, establecer un marco regulatorio para el cabildeo en la legislación primaria que especifique claramente las definiciones y los requisitos de transparencia para las actividades de cabildeo tendría muchos beneficios en la República Dominicana. En primer lugar, señalaría un compromiso de no restringir las actividades legítimas de cabildeo, sino de mejorar la transparencia y salvaguardar el derecho del público a saber quién busca influir en las decisiones políticas, alineando a la República Dominicana con las prácticas de otros países de la OCDE y con los principios consagrados en la Recomendación de la OCDE sobre Transparencia e Integridad en el Cabildeo y la Influencia. También garantizaría un enfoque coherente e integral para promover la transparencia y la rendición de cuentas en todos los ámbitos de la toma de decisiones públicas, evitando enfoques fragmentados entre los distintos poderes y niveles de gobierno (OCDE, 2010 [2]).</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27. La introducción de la regulación del cabildeo en la República Dominicana también representaría una valiosa oportunidad para distinguir claramente los esfuerzos legales para influir en las políticas públicas mediante un cabildeo transparente y responsable de las prácticas ilícitas como el tráfico de influencias. Si bien la adopción de una ley de cabildeo no eliminaría por completo el riesgo de influencia indebida ni el acceso desigual, y no se puede esperar que aborde todas las formas de mala praxis, como el cabildeo informal, la divulgación de información engañosa o la ocultación de la verdadera fuente de influencia, sí establecería normas claras para la divulgación y el registro. De este modo, dicha legislación ayudaría a definir un límite legal y normativo entre el cabildeo legítimo y la influencia corrupta, sirviendo como mecanismo preventivo para garantizar que el cabildeo no se convierta en un conducto para el tráfico de influencias u otras formas de influencia indebida.</w:t>
      </w:r>
    </w:p>
    <w:p w:rsidR="00000000" w:rsidDel="00000000" w:rsidP="00000000" w:rsidRDefault="00000000" w:rsidRPr="00000000" w14:paraId="000000F5">
      <w:pPr>
        <w:rPr/>
      </w:pPr>
      <w:r w:rsidDel="00000000" w:rsidR="00000000" w:rsidRPr="00000000">
        <w:rPr>
          <w:rtl w:val="0"/>
        </w:rPr>
        <w:t xml:space="preserve">También fortalecería la labor de los periodistas de investigación al proporcionarles información fiable y estandarizada que pueda utilizarse para descubrir patrones de influencia, rastrear las relaciones entre grupos de interés y responsables de la toma de decisiones, y exigir responsabilidades a los funcionarios públicos y a los cabilderos (OCDE, 2010 [2]).</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28. Por último, la adopción de dicha legislación generaría importantes beneficios económicos al fomentar unas condiciones de competencia más competitivas y equitativas. Al mejorar la transparencia en el proceso de formulación de políticas y frenar la influencia indebida de intereses poderosos, un marco sólido de cabildeo puede reducir las barreras de entrada y prevenir la captura regulatoria, fomentando así la competencia leal. La falta de una legislación integral sobre cabildeo se destaca como una barrera regulatoria clave para la entrada de empresas y la competencia en los Indicadores de Regulación del Mercado de Productos (PMR) de la OCDE (OCDE, 2025 [16]).</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29. En la República Dominicana, si bien no se está desarrollando ningún proyecto de ley impulsado por el gobierno, la DIGEIG ha reconocido explícitamente la importancia de promulgar una ley de cabildeo en el país. Este reconocimiento también se manifiesta en el poder legislativo, donde el Proyecto de Ley N.° 00360-2020, que regula el cabildeo en la República Dominicana, se presentó formalmente al Senado de la República en 2020. El proyecto de ley buscaba establecer un marco regulatorio para fortalecer la transparencia y la integridad en el ejercicio del cabildeo en la República Dominicana, así como en cualquier actividad destinada a representar intereses privados ante autoridades públicas y funcionarios estatales (artículo 1 del proyecto de ley). Sin embargo, no ha superado las etapas iniciales de revisión. Si bien las siguientes secciones no ofrecen un análisis detallado del proyecto de ley, sí destacan las áreas en las que se ajusta adecuadamente a los estándares y buenas prácticas de la OCDE, así como los aspectos que requieren mejoras. Cabe destacar que el proyecto de ley incluyó varias disposiciones sólidas y ambiciosas que demostraron una sólida comprensión de la dinámica del cabildeo, los riesgos asociados y las salvaguardas de transparencia e integridad necesarias para abordarlos (Senado de la República Dominicana, 2020 [17]).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30. La mayoría de los representantes de la sociedad civil y del sector empresarial entrevistados para este informe también se mostraron a favor de la introducción de un marco regulatorio para el cabildeo en la República Dominicana. Si bien algunos destacaron las iniciativas de autorregulación (por ejemplo, la adopción por parte de asociaciones empresariales y empresas de su propio código de conducta y marcos de transparencia), la experiencia de los países de la OCDE demuestra que los enfoques voluntarios para la regulación del cabildeo son en gran medida ineficaces, ya que carecen de coherencia, una aplicación rigurosa y una participación significativa de actores clave como bufetes de abogados y centros de investigación. La evidencia también indica que las empresas a menudo evitan revelar voluntariamente sus actividades de cabildeo, utilizando estos esquemas más para mejorar su imagen pública que para una verdadera rendición de cuentas (OCDE, 2021).</w:t>
      </w:r>
    </w:p>
    <w:p w:rsidR="00000000" w:rsidDel="00000000" w:rsidP="00000000" w:rsidRDefault="00000000" w:rsidRPr="00000000" w14:paraId="000000FC">
      <w:pPr>
        <w:ind w:left="0" w:firstLine="0"/>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31. Reconocer la necesidad de dicha legislación es un paso positivo y necesario. Por lo tanto, se alienta a la República Dominicana a proseguir con estos esfuerzos y adoptar un marco específico que regule las actividades de cabildeo en su legislación primaria. Si bien la regulación del cabildeo no requiere estrictamente una ley independiente, se recomienda encarecidamente que dichos marcos se establezcan independientemente de las disposiciones anticorrupción. Incorporar normas de cabildeo en la legislación anticorrupción, como se observa en países como Francia y Eslovenia, puede reforzar inadvertidamente la percepción de que el cabildeo es inherentemente corrupto, estigmatizando así una práctica democrática legítima en lugar de promover la transparencia y la rendición de cuentas. Por lo tanto, es preferible que el marco regulatorio del cabildeo se adopte mediante una ley específica de cabildeo, como en Canadá, Chile y Perú, que proporcionaría un marco claro y específico para gestionar las interacciones entre los grupos de interés y los funcionarios públicos, o como parte de una legislación más amplia centrada en promover la transparencia, la integridad y la rendición de cuentas en la toma de decisiones públicas.</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32. Independientemente del enfoque elegido, un factor clave para el éxito de la implementación será la claridad de las definiciones de cabildeo y cabildero, en particular: cuál sería el alcance de los funcionarios públicos y las decisiones públicas a las que se dirigen las actividades de cabildeo que estarían dentro del alcance del marco, qué tipo de actores se considerarían "cabilderos" y qué tipo de actividades dirigidas a los procesos de formulación de políticas, tanto directas como indirectas, se considerarían "cabildeo". Las siguientes secciones presentan consideraciones y recomendaciones clave para definir el alcance de la normativa sobre cabildeo y aclarar los conceptos básicos de "cabildeo" y "cabilderos".</w:t>
      </w:r>
    </w:p>
    <w:p w:rsidR="00000000" w:rsidDel="00000000" w:rsidP="00000000" w:rsidRDefault="00000000" w:rsidRPr="00000000" w14:paraId="00000100">
      <w:pPr>
        <w:ind w:firstLine="720"/>
        <w:rPr/>
      </w:pPr>
      <w:r w:rsidDel="00000000" w:rsidR="00000000" w:rsidRPr="00000000">
        <w:rPr>
          <w:i w:val="1"/>
          <w:iCs w:val="1"/>
          <w:color w:val="999999"/>
          <w:rtl w:val="0"/>
        </w:rPr>
        <w:t xml:space="preserve">Niveles y poderes de gobierno cubiertos</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33. En cuanto al alcance institucional, dado que las actividades de cabildeo pueden ocurrir en todos los niveles de gobierno (federal, nacional, regional y local), así como en todos los poderes y niveles de gobierno, sería conveniente que la República Dominicana adoptara un marco que abarque los poderes ejecutivo, legislativo y judicial, así como las instituciones descentralizadas y los gobiernos provinciales y municipales. Esta amplia cobertura fue también el enfoque sugerido en el proyecto de ley sobre cabildeo presentado al Senado. Esta amplia cobertura, que incluye los niveles municipales, garantizaría que los responsables de la toma de decisiones públicas, los cabilderos y la ciudadanía, independientemente de su lugar de residencia en la República Dominicana, tengan acceso al mismo marco legal, lo que reforzaría su coherencia, facilitaría su comprensión y evitaría la multiplicación de marcos divergentes en los distintos niveles locales. Asimismo, convertiría al marco dominicano en uno de los más completos entre los países de la OCDE.</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34. Sin embargo, dado que la legislación se introduciría en un espacio previamente no regulado, podría priorizar los poderes ejecutivo y legislativo. La mayoría de las regulaciones vigentes en la OCDE se centran en los poderes ejecutivo y legislativo. Entre los países de la OCDE, solo cinco (Austria, Chile, Grecia, Lituania y Eslovenia) exigen transparencia para las actividades de cabildeo dirigidas al poder judicial. De manera similar, solo seis países de la OCDE (Austria, Chile, Francia, Irlanda, Lituania y Eslovenia) cuentan con regulaciones nacionales sobre cabildeo que también se aplican a nivel regional y local.</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35. El alcance del marco podría ampliarse progresivamente para incluir el poder judicial y los niveles subnacionales de gobierno en revisiones posteriores, lo que permitiría un enfoque gradual que se basara en la implementación inicial y las lecciones aprendidas. Francia adoptó este enfoque al extender su marco regulatorio sobre cabildeo (inicialmente introducido en 2016 e implementado en 2017) al nivel local a partir del 1 de julio de 2022. Esta extensión incluyó a presidentes regionales y alcaldes de ciudades con más de 150.000 habitantes. Como resultado de este alcance más amplio, el registro francés de cabildeo se ha convertido en uno de los más grandes del mundo, abarcando a unos 19.000 funcionarios públicos (HATVP, 2022 [18]). Como alternativa, el poder judicial y los niveles de gobierno local podrían incluirse desde el principio en el marco legal, posponiendo la implementación a nivel local durante algunos años. Esta implementación gradual permitiría a los grupos de presión y a los funcionarios públicos familiarizarse primero con el marco a nivel nacional antes de extender su aplicación de forma más amplia.</w:t>
      </w:r>
    </w:p>
    <w:p w:rsidR="00000000" w:rsidDel="00000000" w:rsidP="00000000" w:rsidRDefault="00000000" w:rsidRPr="00000000" w14:paraId="00000107">
      <w:pPr>
        <w:ind w:left="0" w:firstLine="0"/>
        <w:rPr>
          <w:b w:val="1"/>
          <w:bCs w:val="1"/>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36. Si se adopta un enfoque regulatorio más amplio desde el principio, una solución complementaria podría consistir en adaptar la aplicación del marco a los diferentes niveles institucionales. Por ejemplo, en municipios más pequeños, la regulación podría centrarse en el cabildeo relacionado con decisiones de aplicación general, como actos normativos, normas, directrices, programas y planes de acción, excluyendo el cabildeo sobre decisiones individualizadas como subvenciones, permisos o licencias. Como alternativa, un enfoque menos restrictivo podría consistir en establecer umbrales para los tipos de decisiones cubiertas, como limitar el alcance a las representaciones realizadas en procesos administrativos para subvenciones, asistencia financiera, préstamos o permisos que superen un umbral monetario específico. Esto garantizaría la proporcionalidad y la viabilidad, a la vez que promovería la transparencia y la integridad.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ind w:firstLine="720"/>
        <w:rPr>
          <w:i w:val="1"/>
          <w:iCs w:val="1"/>
          <w:color w:val="999999"/>
        </w:rPr>
      </w:pPr>
      <w:r w:rsidDel="00000000" w:rsidR="00000000" w:rsidRPr="00000000">
        <w:rPr>
          <w:i w:val="1"/>
          <w:iCs w:val="1"/>
          <w:color w:val="999999"/>
          <w:rtl w:val="0"/>
        </w:rPr>
        <w:t xml:space="preserve">Instituciones públicas y funcionarios públicos objeto de actividades de cabildeo.</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37. En cuanto a los funcionarios públicos objeto de actividades de cabildeo, es esencial que cualquier marco regulatorio de cabildeo se diseñe con un alcance suficientemente amplio para incluir a los funcionarios públicos que suelen ser objeto de actividades de cabildeo e influencia. En la República Dominicana, esto generalmente abarca al Presidente y sus asesores políticos, miembros del Gobierno y sus gabinetes, parlamentarios y su personal, así como funcionarios electos locales y jefes de gobiernos municipales y regionales. La inclusión del personal y los asesores de ministros y parlamentarios es particularmente importante debido a la naturaleza de las funciones que desempeñan: asesoramiento estratégico en el diseño de políticas o reformas, gestión de crisis, diplomacia y diseño de nuevas leyes y políticas. Esto significa que están expuestos a riesgos de influencia indebida, ya que interactúan estrechamente con las partes interesadas y suelen ser contactados con mayor facilidad por grupos de presión (OCDE, 2011 [19]).</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38. Además, el alcance debe abarcar a cualquier funcionario público que, en virtud de su cargo, tenga la capacidad de influir en la toma de decisiones. Esto incluye a todos los titulares de altas funciones ejecutivas, como los jefes de los órganos de la administración pública, así como los puestos considerados de riesgo debido a sus responsabilidades regulatorias o de supervisión. Para garantizar una cobertura integral y mantener la flexibilidad, la ley podría definir ciertas categorías básicas de funcionarios públicos, permitiendo a la vez que cada organismo designe roles adicionales dentro de sus estructuras que deberían estar sujetos al marco en función de sus funciones. En Chile existe un sistema similar, que permite adaptar el marco de transparencia a sectores sensibles y roles de alto riesgo dentro de la administración, como los funcionarios de compras públicas de ministerios específicos (Recuadro 8.1).</w:t>
      </w:r>
    </w:p>
    <w:p w:rsidR="00000000" w:rsidDel="00000000" w:rsidP="00000000" w:rsidRDefault="00000000" w:rsidRPr="00000000" w14:paraId="0000010F">
      <w:pPr>
        <w:ind w:left="0" w:firstLine="0"/>
        <w:rPr>
          <w:b w:val="1"/>
          <w:bCs w:val="1"/>
        </w:rPr>
      </w:pPr>
      <w:r w:rsidDel="00000000" w:rsidR="00000000" w:rsidRPr="00000000">
        <w:rPr>
          <w:rtl w:val="0"/>
        </w:rPr>
      </w:r>
    </w:p>
    <w:p w:rsidR="00000000" w:rsidDel="00000000" w:rsidP="00000000" w:rsidRDefault="00000000" w:rsidRPr="00000000" w14:paraId="00000110">
      <w:pPr>
        <w:ind w:left="0" w:firstLine="0"/>
        <w:rPr>
          <w:b w:val="1"/>
          <w:bCs w:val="1"/>
        </w:rPr>
      </w:pPr>
      <w:r w:rsidDel="00000000" w:rsidR="00000000" w:rsidRPr="00000000">
        <w:rPr>
          <w:rtl w:val="0"/>
        </w:rPr>
      </w:r>
    </w:p>
    <w:tbl>
      <w:tblPr>
        <w:tblStyle w:val="Table4"/>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rPr>
            </w:pPr>
            <w:r w:rsidDel="00000000" w:rsidR="00000000" w:rsidRPr="00000000">
              <w:rPr>
                <w:b w:val="1"/>
                <w:bCs w:val="1"/>
                <w:color w:val="3c78d8"/>
                <w:rtl w:val="0"/>
              </w:rPr>
              <w:t xml:space="preserve">Recuadro 8.1. Designación mediante resolución de funcionarios públicos objeto de actividades de lobby en Chile</w:t>
            </w:r>
            <w:r w:rsidDel="00000000" w:rsidR="00000000" w:rsidRPr="00000000">
              <w:rPr>
                <w:rtl w:val="0"/>
              </w:rPr>
            </w:r>
          </w:p>
          <w:p w:rsidR="00000000" w:rsidDel="00000000" w:rsidP="00000000" w:rsidRDefault="00000000" w:rsidRPr="00000000" w14:paraId="00000112">
            <w:pPr>
              <w:widowControl w:val="0"/>
              <w:spacing w:line="240" w:lineRule="auto"/>
              <w:rPr/>
            </w:pPr>
            <w:r w:rsidDel="00000000" w:rsidR="00000000" w:rsidRPr="00000000">
              <w:rPr>
                <w:rtl w:val="0"/>
              </w:rPr>
            </w:r>
          </w:p>
          <w:p w:rsidR="00000000" w:rsidDel="00000000" w:rsidP="00000000" w:rsidRDefault="00000000" w:rsidRPr="00000000" w14:paraId="00000113">
            <w:pPr>
              <w:widowControl w:val="0"/>
              <w:spacing w:line="240" w:lineRule="auto"/>
              <w:rPr/>
            </w:pPr>
            <w:r w:rsidDel="00000000" w:rsidR="00000000" w:rsidRPr="00000000">
              <w:rPr>
                <w:rtl w:val="0"/>
              </w:rPr>
              <w:t xml:space="preserve">Para promover la transparencia y la rendición de cuentas, la Ley de Lobby en Chile exige que cada institución pública sujeta a la Ley publique y mantenga actualizada la lista de funcionarios públicos objeto de actividades de lobby.</w:t>
            </w:r>
          </w:p>
          <w:p w:rsidR="00000000" w:rsidDel="00000000" w:rsidP="00000000" w:rsidRDefault="00000000" w:rsidRPr="00000000" w14:paraId="00000114">
            <w:pPr>
              <w:widowControl w:val="0"/>
              <w:spacing w:line="240" w:lineRule="auto"/>
              <w:rPr/>
            </w:pPr>
            <w:r w:rsidDel="00000000" w:rsidR="00000000" w:rsidRPr="00000000">
              <w:rPr>
                <w:rtl w:val="0"/>
              </w:rPr>
            </w:r>
          </w:p>
          <w:p w:rsidR="00000000" w:rsidDel="00000000" w:rsidP="00000000" w:rsidRDefault="00000000" w:rsidRPr="00000000" w14:paraId="00000115">
            <w:pPr>
              <w:widowControl w:val="0"/>
              <w:spacing w:line="240" w:lineRule="auto"/>
              <w:rPr/>
            </w:pPr>
            <w:r w:rsidDel="00000000" w:rsidR="00000000" w:rsidRPr="00000000">
              <w:rPr>
                <w:rtl w:val="0"/>
              </w:rPr>
              <w:t xml:space="preserve">El artículo 4 de la Ley establece que las instituciones sujetas al marco legal podrán designar, mediante resoluciones o acuerdos, a otros funcionarios públicos como funcionarios públicos designados si estos, en virtud de su función o cargo, tienen facultades de decisión relevantes o influencia decisiva sobre quienes las ostentan. La lista de personas que, en virtud de estas resoluciones, se consideran sujetos pasivos se publica anualmente en los sitios web de cada institución.</w:t>
            </w:r>
          </w:p>
          <w:p w:rsidR="00000000" w:rsidDel="00000000" w:rsidP="00000000" w:rsidRDefault="00000000" w:rsidRPr="00000000" w14:paraId="00000116">
            <w:pPr>
              <w:widowControl w:val="0"/>
              <w:spacing w:line="240" w:lineRule="auto"/>
              <w:rPr/>
            </w:pPr>
            <w:r w:rsidDel="00000000" w:rsidR="00000000" w:rsidRPr="00000000">
              <w:rPr>
                <w:rtl w:val="0"/>
              </w:rPr>
            </w:r>
          </w:p>
          <w:p w:rsidR="00000000" w:rsidDel="00000000" w:rsidP="00000000" w:rsidRDefault="00000000" w:rsidRPr="00000000" w14:paraId="00000117">
            <w:pPr>
              <w:widowControl w:val="0"/>
              <w:spacing w:line="240" w:lineRule="auto"/>
              <w:rPr/>
            </w:pPr>
            <w:r w:rsidDel="00000000" w:rsidR="00000000" w:rsidRPr="00000000">
              <w:rPr>
                <w:rtl w:val="0"/>
              </w:rPr>
              <w:t xml:space="preserve">Además, si una persona considera que un determinado funcionario público, en razón de su función o cargo, tiene facultades de decisión relevantes o influencia decisiva sobre quienes las ostentan, podrá solicitar su incorporación por escrito a la autoridad competente. Este último deberá resolver la solicitud en un plazo de diez días hábiles, en única instancia, y cualquier decisión que la deniegue deberá ser motivada.</w:t>
            </w:r>
          </w:p>
          <w:p w:rsidR="00000000" w:rsidDel="00000000" w:rsidP="00000000" w:rsidRDefault="00000000" w:rsidRPr="00000000" w14:paraId="00000118">
            <w:pPr>
              <w:widowControl w:val="0"/>
              <w:spacing w:line="240" w:lineRule="auto"/>
              <w:rPr/>
            </w:pPr>
            <w:r w:rsidDel="00000000" w:rsidR="00000000" w:rsidRPr="00000000">
              <w:rPr>
                <w:rtl w:val="0"/>
              </w:rPr>
            </w:r>
          </w:p>
          <w:p w:rsidR="00000000" w:rsidDel="00000000" w:rsidP="00000000" w:rsidRDefault="00000000" w:rsidRPr="00000000" w14:paraId="00000119">
            <w:pPr>
              <w:widowControl w:val="0"/>
              <w:spacing w:line="240" w:lineRule="auto"/>
              <w:rPr/>
            </w:pPr>
            <w:r w:rsidDel="00000000" w:rsidR="00000000" w:rsidRPr="00000000">
              <w:rPr>
                <w:rtl w:val="0"/>
              </w:rPr>
              <w:t xml:space="preserve">Este sistema permite cierta flexibilidad e incluye en la lista de sujetos pasivos a funcionarios públicos que no hayan sido considerados como tales en el marco legal.</w:t>
            </w:r>
          </w:p>
          <w:p w:rsidR="00000000" w:rsidDel="00000000" w:rsidP="00000000" w:rsidRDefault="00000000" w:rsidRPr="00000000" w14:paraId="0000011A">
            <w:pPr>
              <w:widowControl w:val="0"/>
              <w:spacing w:line="240" w:lineRule="auto"/>
              <w:rPr/>
            </w:pPr>
            <w:r w:rsidDel="00000000" w:rsidR="00000000" w:rsidRPr="00000000">
              <w:rPr>
                <w:rtl w:val="0"/>
              </w:rPr>
            </w:r>
          </w:p>
          <w:p w:rsidR="00000000" w:rsidDel="00000000" w:rsidP="00000000" w:rsidRDefault="00000000" w:rsidRPr="00000000" w14:paraId="0000011B">
            <w:pPr>
              <w:widowControl w:val="0"/>
              <w:spacing w:line="240" w:lineRule="auto"/>
              <w:rPr>
                <w:b w:val="1"/>
                <w:bCs w:val="1"/>
              </w:rPr>
            </w:pPr>
            <w:r w:rsidDel="00000000" w:rsidR="00000000" w:rsidRPr="00000000">
              <w:rPr>
                <w:rtl w:val="0"/>
              </w:rPr>
              <w:t xml:space="preserve">Fuente:</w:t>
            </w:r>
            <w:r w:rsidDel="00000000" w:rsidR="00000000" w:rsidRPr="00000000">
              <w:rPr>
                <w:rtl w:val="0"/>
              </w:rPr>
            </w:r>
          </w:p>
        </w:tc>
      </w:tr>
    </w:tbl>
    <w:p w:rsidR="00000000" w:rsidDel="00000000" w:rsidP="00000000" w:rsidRDefault="00000000" w:rsidRPr="00000000" w14:paraId="0000011C">
      <w:pPr>
        <w:ind w:left="0" w:firstLine="0"/>
        <w:rPr>
          <w:b w:val="1"/>
          <w:bCs w:val="1"/>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39. Además de los poderes ejecutivo y legislativo, existen otras instituciones relevantes en la República Dominicana que podrían incluirse en el marco regulatorio del cabildeo. Estas incluyen la Junta Central Electoral, así como órganos clave del poder judicial, como el Consejo Nacional de la Magistratura, el Consejo de la Judicatura y el Tribunal Constitucional. Se han recibido informes fidedignos sobre esfuerzos de cabildeo dirigidos contra el Consejo Nacional de la Judicatura, responsable de nombrar a los jueces de la Corte Suprema de Justicia, la Corte Constitucional y el Tribunal Superior Electoral (Bertelsmann Stiftung, 2024 [8]).</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ind w:firstLine="720"/>
        <w:rPr>
          <w:i w:val="1"/>
          <w:iCs w:val="1"/>
          <w:color w:val="999999"/>
        </w:rPr>
      </w:pPr>
      <w:r w:rsidDel="00000000" w:rsidR="00000000" w:rsidRPr="00000000">
        <w:rPr>
          <w:i w:val="1"/>
          <w:iCs w:val="1"/>
          <w:color w:val="999999"/>
          <w:rtl w:val="0"/>
        </w:rPr>
        <w:t xml:space="preserve">Decisiones públicas objetivo</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40. En cuanto a las</w:t>
      </w:r>
      <w:r w:rsidDel="00000000" w:rsidR="00000000" w:rsidRPr="00000000">
        <w:rPr>
          <w:b w:val="1"/>
          <w:bCs w:val="1"/>
          <w:rtl w:val="0"/>
        </w:rPr>
        <w:t xml:space="preserve"> decisiones públicas</w:t>
      </w:r>
      <w:r w:rsidDel="00000000" w:rsidR="00000000" w:rsidRPr="00000000">
        <w:rPr>
          <w:rtl w:val="0"/>
        </w:rPr>
        <w:t xml:space="preserve"> objetivo de las actividades de cabildeo, estas pueden estar dirigidas a todo el ciclo de políticas, incluyendo la definición de agendas políticas, el desarrollo y la adopción de políticas, o en las fases de implementación o evaluación de políticas y regulaciones. Si bien un marco regulatorio para el cabildeo no necesita abordar todos los riesgos identificados en la Tabla 8.3, ya que otras políticas y regulaciones relacionadas también pueden contribuir a fomentar la transparencia y la integridad en las distintas etapas del ciclo de políticas, la tabla a continuación ilustra los tipos de decisiones públicas y las fases que pueden estar cubiertas por una regulación del cabildeo.</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b w:val="1"/>
          <w:bCs w:val="1"/>
          <w:color w:val="3c78d8"/>
        </w:rPr>
      </w:pPr>
      <w:r w:rsidDel="00000000" w:rsidR="00000000" w:rsidRPr="00000000">
        <w:rPr>
          <w:b w:val="1"/>
          <w:bCs w:val="1"/>
          <w:color w:val="3c78d8"/>
          <w:rtl w:val="0"/>
        </w:rPr>
        <w:t xml:space="preserve">Tabla 8.3. Riesgos de influencia indebida a lo largo del ciclo de políticas</w:t>
      </w:r>
    </w:p>
    <w:p w:rsidR="00000000" w:rsidDel="00000000" w:rsidP="00000000" w:rsidRDefault="00000000" w:rsidRPr="00000000" w14:paraId="00000124">
      <w:pPr>
        <w:ind w:left="0" w:firstLine="0"/>
        <w:rPr/>
      </w:pPr>
      <w:r w:rsidDel="00000000" w:rsidR="00000000" w:rsidRPr="00000000">
        <w:rPr>
          <w:rtl w:val="0"/>
        </w:rPr>
      </w:r>
    </w:p>
    <w:tbl>
      <w:tblPr>
        <w:tblStyle w:val="Table5"/>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900"/>
        <w:gridCol w:w="1335"/>
        <w:gridCol w:w="1665"/>
        <w:gridCol w:w="1575"/>
        <w:gridCol w:w="1620"/>
        <w:gridCol w:w="1230"/>
        <w:tblGridChange w:id="0">
          <w:tblGrid>
            <w:gridCol w:w="1020"/>
            <w:gridCol w:w="900"/>
            <w:gridCol w:w="1335"/>
            <w:gridCol w:w="1665"/>
            <w:gridCol w:w="1575"/>
            <w:gridCol w:w="1620"/>
            <w:gridCol w:w="123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Definición de la agenda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Desarrollo de políticas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Adopción de políticas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Implementación de políticas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Evaluación de políticas</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Riesgo de influencia indebida</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Prioridades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Proyectos de ley y reglamentos, documentos de políticas (p. ej., estudios de viabilidad de proyectos, especificaciones de proyectos)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Votaciones (leyes) o decisiones administrativas (reglamentos), cambios en proyectos de ley o especificaciones de proyectos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Normas y procedimientos de implementación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18"/>
                <w:szCs w:val="18"/>
              </w:rPr>
            </w:pPr>
            <w:r w:rsidDel="00000000" w:rsidR="00000000" w:rsidRPr="00000000">
              <w:rPr>
                <w:sz w:val="18"/>
                <w:szCs w:val="18"/>
                <w:rtl w:val="0"/>
              </w:rPr>
              <w:t xml:space="preserve">Resultados de la evaluación</w:t>
            </w:r>
          </w:p>
        </w:tc>
      </w:tr>
      <w:tr>
        <w:trPr>
          <w:cantSplit w:val="0"/>
          <w:trHeight w:val="3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Actores principales en la mira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Nivel Legislativo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8"/>
                <w:szCs w:val="18"/>
              </w:rPr>
            </w:pPr>
            <w:r w:rsidDel="00000000" w:rsidR="00000000" w:rsidRPr="00000000">
              <w:rPr>
                <w:sz w:val="18"/>
                <w:szCs w:val="18"/>
                <w:rtl w:val="0"/>
              </w:rPr>
              <w:t xml:space="preserve">Legisladores,</w:t>
            </w:r>
          </w:p>
          <w:p w:rsidR="00000000" w:rsidDel="00000000" w:rsidP="00000000" w:rsidRDefault="00000000" w:rsidRPr="00000000" w14:paraId="00000136">
            <w:pPr>
              <w:widowControl w:val="0"/>
              <w:spacing w:line="240" w:lineRule="auto"/>
              <w:rPr>
                <w:sz w:val="18"/>
                <w:szCs w:val="18"/>
              </w:rPr>
            </w:pPr>
            <w:r w:rsidDel="00000000" w:rsidR="00000000" w:rsidRPr="00000000">
              <w:rPr>
                <w:sz w:val="18"/>
                <w:szCs w:val="18"/>
                <w:rtl w:val="0"/>
              </w:rPr>
              <w:t xml:space="preserve">personal ministerial,</w:t>
            </w:r>
          </w:p>
          <w:p w:rsidR="00000000" w:rsidDel="00000000" w:rsidP="00000000" w:rsidRDefault="00000000" w:rsidRPr="00000000" w14:paraId="00000137">
            <w:pPr>
              <w:widowControl w:val="0"/>
              <w:spacing w:line="240" w:lineRule="auto"/>
              <w:rPr>
                <w:sz w:val="18"/>
                <w:szCs w:val="18"/>
              </w:rPr>
            </w:pPr>
            <w:r w:rsidDel="00000000" w:rsidR="00000000" w:rsidRPr="00000000">
              <w:rPr>
                <w:sz w:val="18"/>
                <w:szCs w:val="18"/>
                <w:rtl w:val="0"/>
              </w:rPr>
              <w:t xml:space="preserve">partidos políticos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Legisladores, personal ministerial, partidos políticos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Legisladores, comisiones y comités parlamentarios, expertos invitados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Comisiones y comités parlamentarios, expertos invitados</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Nivel Administrativo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18"/>
                <w:szCs w:val="18"/>
              </w:rPr>
            </w:pPr>
            <w:r w:rsidDel="00000000" w:rsidR="00000000" w:rsidRPr="00000000">
              <w:rPr>
                <w:sz w:val="18"/>
                <w:szCs w:val="18"/>
                <w:rtl w:val="0"/>
              </w:rPr>
              <w:t xml:space="preserve">Funcionarios,</w:t>
            </w:r>
          </w:p>
          <w:p w:rsidR="00000000" w:rsidDel="00000000" w:rsidP="00000000" w:rsidRDefault="00000000" w:rsidRPr="00000000" w14:paraId="0000013F">
            <w:pPr>
              <w:widowControl w:val="0"/>
              <w:spacing w:line="240" w:lineRule="auto"/>
              <w:rPr>
                <w:sz w:val="18"/>
                <w:szCs w:val="18"/>
              </w:rPr>
            </w:pPr>
            <w:r w:rsidDel="00000000" w:rsidR="00000000" w:rsidRPr="00000000">
              <w:rPr>
                <w:sz w:val="18"/>
                <w:szCs w:val="18"/>
                <w:rtl w:val="0"/>
              </w:rPr>
              <w:t xml:space="preserve">expertos técnicos,</w:t>
            </w:r>
          </w:p>
          <w:p w:rsidR="00000000" w:rsidDel="00000000" w:rsidP="00000000" w:rsidRDefault="00000000" w:rsidRPr="00000000" w14:paraId="00000140">
            <w:pPr>
              <w:widowControl w:val="0"/>
              <w:spacing w:line="240" w:lineRule="auto"/>
              <w:rPr>
                <w:sz w:val="18"/>
                <w:szCs w:val="18"/>
              </w:rPr>
            </w:pPr>
            <w:r w:rsidDel="00000000" w:rsidR="00000000" w:rsidRPr="00000000">
              <w:rPr>
                <w:sz w:val="18"/>
                <w:szCs w:val="18"/>
                <w:rtl w:val="0"/>
              </w:rPr>
              <w:t xml:space="preserve">consultores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18"/>
                <w:szCs w:val="18"/>
              </w:rPr>
            </w:pPr>
            <w:r w:rsidDel="00000000" w:rsidR="00000000" w:rsidRPr="00000000">
              <w:rPr>
                <w:sz w:val="18"/>
                <w:szCs w:val="18"/>
                <w:rtl w:val="0"/>
              </w:rPr>
              <w:t xml:space="preserve">Funcionarios,</w:t>
            </w:r>
          </w:p>
          <w:p w:rsidR="00000000" w:rsidDel="00000000" w:rsidP="00000000" w:rsidRDefault="00000000" w:rsidRPr="00000000" w14:paraId="00000142">
            <w:pPr>
              <w:widowControl w:val="0"/>
              <w:spacing w:line="240" w:lineRule="auto"/>
              <w:rPr>
                <w:sz w:val="18"/>
                <w:szCs w:val="18"/>
              </w:rPr>
            </w:pPr>
            <w:r w:rsidDel="00000000" w:rsidR="00000000" w:rsidRPr="00000000">
              <w:rPr>
                <w:sz w:val="18"/>
                <w:szCs w:val="18"/>
                <w:rtl w:val="0"/>
              </w:rPr>
              <w:t xml:space="preserve">expertos técnicos,</w:t>
            </w:r>
          </w:p>
          <w:p w:rsidR="00000000" w:rsidDel="00000000" w:rsidP="00000000" w:rsidRDefault="00000000" w:rsidRPr="00000000" w14:paraId="00000143">
            <w:pPr>
              <w:widowControl w:val="0"/>
              <w:spacing w:line="240" w:lineRule="auto"/>
              <w:rPr>
                <w:sz w:val="18"/>
                <w:szCs w:val="18"/>
              </w:rPr>
            </w:pPr>
            <w:r w:rsidDel="00000000" w:rsidR="00000000" w:rsidRPr="00000000">
              <w:rPr>
                <w:sz w:val="18"/>
                <w:szCs w:val="18"/>
                <w:rtl w:val="0"/>
              </w:rPr>
              <w:t xml:space="preserve">consultores</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Jefes de órganos o unidades administrativas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Funcionarios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Funcionarios, consultores (expertos)</w:t>
            </w:r>
          </w:p>
        </w:tc>
      </w:tr>
    </w:tbl>
    <w:p w:rsidR="00000000" w:rsidDel="00000000" w:rsidP="00000000" w:rsidRDefault="00000000" w:rsidRPr="00000000" w14:paraId="00000148">
      <w:pPr>
        <w:rPr>
          <w:sz w:val="18"/>
          <w:szCs w:val="18"/>
        </w:rPr>
      </w:pPr>
      <w:r w:rsidDel="00000000" w:rsidR="00000000" w:rsidRPr="00000000">
        <w:rPr>
          <w:sz w:val="18"/>
          <w:szCs w:val="18"/>
          <w:rtl w:val="0"/>
        </w:rPr>
        <w:t xml:space="preserve">Nota: El recuadro en blanco indica que el poder legislativo no participa en la implementación de políticas.</w:t>
      </w:r>
    </w:p>
    <w:p w:rsidR="00000000" w:rsidDel="00000000" w:rsidP="00000000" w:rsidRDefault="00000000" w:rsidRPr="00000000" w14:paraId="00000149">
      <w:pPr>
        <w:rPr>
          <w:sz w:val="18"/>
          <w:szCs w:val="18"/>
        </w:rPr>
      </w:pPr>
      <w:r w:rsidDel="00000000" w:rsidR="00000000" w:rsidRPr="00000000">
        <w:rPr>
          <w:sz w:val="18"/>
          <w:szCs w:val="18"/>
          <w:rtl w:val="0"/>
        </w:rPr>
        <w:t xml:space="preserve">Fuente: (OCDE, 2017 [21])</w:t>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41. En este sentido, el alcance propuesto por el proyecto de ley sobre cabildeo ya era bastante amplio y ambicioso. Abarcaba: (i) la redacción, modificación, derogación o rechazo de actos administrativos, proyectos de ley y leyes; (ii) la redacción, tramitación, aprobación, modificación, derogación, declaraciones o decisiones adoptadas por el Congreso Nacional o sus miembros, incluyendo sus comisiones permanentes; y (iii) la negociación, modificación o rescisión de cualquier contrato celebrado por un funcionario público en nombre del Estado dominicano, así como el diseño, la implementación y la evaluación de políticas, planes y programas públicos.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42. En cuanto a esto último —la adjudicación de contratos públicos—, puede que no sea necesario que la normativa sobre cabildeo cubra todas las fases del proceso de contratación o licitación, especialmente cuando estos ya se rigen por normas específicas y requisitos de transparencia. Un marco regulatorio sobre cabildeo debe evitar la duplicación de obligaciones existentes y no debe utilizarse para subsanar deficiencias en otros sistemas regulatorios, como los que rigen la contratación pública y los procesos de licitación competitiva. Su enfoque debe centrarse en garantizar la transparencia en las iniciativas de influencia, sin solaparse ni entrar en conflicto con marcos paralelos. Si bien este capítulo no realiza un análisis detallado del marco de transparencia e integridad que rige los procesos de contratación y licitación pública en la República Dominicana, es importante tenerlo en cuenta al diseñar un marco regulatorio para el cabildeo. Como mínimo, las etapas de definición de necesidades y planificación de las contrataciones suelen estar cubiertas por la normativa sobre cabildeo, como se muestra en el ejemplo francés del Recuadro 8.2.</w:t>
      </w:r>
    </w:p>
    <w:p w:rsidR="00000000" w:rsidDel="00000000" w:rsidP="00000000" w:rsidRDefault="00000000" w:rsidRPr="00000000" w14:paraId="0000014E">
      <w:pPr>
        <w:ind w:left="0" w:firstLine="0"/>
        <w:rPr/>
      </w:pPr>
      <w:r w:rsidDel="00000000" w:rsidR="00000000" w:rsidRPr="00000000">
        <w:rPr>
          <w:rtl w:val="0"/>
        </w:rPr>
      </w:r>
    </w:p>
    <w:p w:rsidR="00000000" w:rsidDel="00000000" w:rsidP="00000000" w:rsidRDefault="00000000" w:rsidRPr="00000000" w14:paraId="0000014F">
      <w:pPr>
        <w:ind w:left="0" w:firstLine="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color w:val="3c78d8"/>
              </w:rPr>
            </w:pPr>
            <w:r w:rsidDel="00000000" w:rsidR="00000000" w:rsidRPr="00000000">
              <w:rPr>
                <w:b w:val="1"/>
                <w:bCs w:val="1"/>
                <w:color w:val="3c78d8"/>
                <w:rtl w:val="0"/>
              </w:rPr>
              <w:t xml:space="preserve">Recuadro 8.2. Definición de necesidades y procedimientos de licitación en Francia</w:t>
            </w:r>
          </w:p>
          <w:p w:rsidR="00000000" w:rsidDel="00000000" w:rsidP="00000000" w:rsidRDefault="00000000" w:rsidRPr="00000000" w14:paraId="00000151">
            <w:pPr>
              <w:widowControl w:val="0"/>
              <w:spacing w:line="240" w:lineRule="auto"/>
              <w:rPr/>
            </w:pPr>
            <w:r w:rsidDel="00000000" w:rsidR="00000000" w:rsidRPr="00000000">
              <w:rPr>
                <w:rtl w:val="0"/>
              </w:rPr>
            </w:r>
          </w:p>
          <w:p w:rsidR="00000000" w:rsidDel="00000000" w:rsidP="00000000" w:rsidRDefault="00000000" w:rsidRPr="00000000" w14:paraId="00000152">
            <w:pPr>
              <w:widowControl w:val="0"/>
              <w:spacing w:line="240" w:lineRule="auto"/>
              <w:rPr/>
            </w:pPr>
            <w:r w:rsidDel="00000000" w:rsidR="00000000" w:rsidRPr="00000000">
              <w:rPr>
                <w:rtl w:val="0"/>
              </w:rPr>
              <w:t xml:space="preserve">En Francia, ciertas comunicaciones relativas a procedimientos de licitación basados ​​en el artículo 42 de la Ordenanza n.º 2015-899, de 23 de julio de 2015, sobre contratos públicos, o el artículo 36 de la Ordenanza n.º 2016-65, de 29 de enero de 2016, sobre contratos de concesión, no están contempladas en el marco regulatorio de la actividad de lobby.</w:t>
            </w:r>
          </w:p>
          <w:p w:rsidR="00000000" w:rsidDel="00000000" w:rsidP="00000000" w:rsidRDefault="00000000" w:rsidRPr="00000000" w14:paraId="00000153">
            <w:pPr>
              <w:widowControl w:val="0"/>
              <w:spacing w:line="240" w:lineRule="auto"/>
              <w:rPr/>
            </w:pPr>
            <w:r w:rsidDel="00000000" w:rsidR="00000000" w:rsidRPr="00000000">
              <w:rPr>
                <w:rtl w:val="0"/>
              </w:rPr>
            </w:r>
          </w:p>
          <w:p w:rsidR="00000000" w:rsidDel="00000000" w:rsidP="00000000" w:rsidRDefault="00000000" w:rsidRPr="00000000" w14:paraId="00000154">
            <w:pPr>
              <w:widowControl w:val="0"/>
              <w:spacing w:line="240" w:lineRule="auto"/>
              <w:rPr/>
            </w:pPr>
            <w:r w:rsidDel="00000000" w:rsidR="00000000" w:rsidRPr="00000000">
              <w:rPr>
                <w:rtl w:val="0"/>
              </w:rPr>
              <w:t xml:space="preserve">Por ejemplo, el director de una empresa especializada en seguridad informática, que se dirige a la oficina del ministro de Defensa para convencerle de la necesidad de lanzar un contrato público para la adquisición de tecnología de cifrado de datos con el fin de reforzar la seguridad de los sistemas de información del ministerio, está llevando a cabo una actividad de lobby. Por otro lado, una vez que el Ministerio lanza el procedimiento de licitación, sus relaciones con esta empresa y con los demás candidatos, hasta la firma del contrato, quedan excluidas del ámbito de aplicación de los requisitos de transparencia en la gestión de lobby, al igual que las relaciones que se establezcan con el candidato seleccionado para la ejecución del contrato.</w:t>
            </w:r>
          </w:p>
          <w:p w:rsidR="00000000" w:rsidDel="00000000" w:rsidP="00000000" w:rsidRDefault="00000000" w:rsidRPr="00000000" w14:paraId="00000155">
            <w:pPr>
              <w:widowControl w:val="0"/>
              <w:spacing w:line="240" w:lineRule="auto"/>
              <w:rPr/>
            </w:pPr>
            <w:r w:rsidDel="00000000" w:rsidR="00000000" w:rsidRPr="00000000">
              <w:rPr>
                <w:rtl w:val="0"/>
              </w:rPr>
            </w:r>
          </w:p>
          <w:p w:rsidR="00000000" w:rsidDel="00000000" w:rsidP="00000000" w:rsidRDefault="00000000" w:rsidRPr="00000000" w14:paraId="00000156">
            <w:pPr>
              <w:widowControl w:val="0"/>
              <w:spacing w:line="240" w:lineRule="auto"/>
              <w:rPr/>
            </w:pPr>
            <w:r w:rsidDel="00000000" w:rsidR="00000000" w:rsidRPr="00000000">
              <w:rPr>
                <w:rtl w:val="0"/>
              </w:rPr>
              <w:t xml:space="preserve">Fuente: (OCDE, 2022 [22])</w:t>
            </w:r>
          </w:p>
        </w:tc>
      </w:tr>
    </w:tbl>
    <w:p w:rsidR="00000000" w:rsidDel="00000000" w:rsidP="00000000" w:rsidRDefault="00000000" w:rsidRPr="00000000" w14:paraId="00000157">
      <w:pPr>
        <w:ind w:left="0" w:firstLine="0"/>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43. Por último, y como se mencionó anteriormente, la cobertura del nombramiento de ciertas personas para puestos clave dentro del gobierno también es una buena práctica internacional y podría incluirse en el marco de la República Dominicana. De hecho, las decisiones sobre el nombramiento de ciertos funcionarios públicos pueden ser un área clave de interés para los grupos de presión, lo que les permite promover sus intereses si una persona afín a sus intereses específicos es colocada en el puesto en cuestión. Para mitigar los riesgos de influencia indebida de grupos de interés poderosos en el proceso de nominación, por ejemplo, En Francia, el nombramiento de ciertos funcionarios públicos —generalmente nombramientos para un puesto sujeto a la confirmación del Parlamento— se considera un tipo de decisión comprendida en las actividades de cabildeo y, por lo tanto, está sujeta a los requisitos de transparencia (OCDE, 2021). En la República Dominicana, esto podría abarcar el nombramiento de puestos específicos de alto nivel (por ejemplo, nominaciones de miembros de la Corte Suprema, el Tribunal Constitucional y el Tribunal Superior Electoral), así como de directores de organismos. Esta lista podría alinearse con el Artículo 2 de la Ley n.º 155-17 sobre lavado de activos y el financiamiento del terrorismo, que identifica categorías específicas de funcionarios públicos que tienen a "personas expuestas políticamente", de acuerdo con los estándares del GAFI.</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ind w:firstLine="720"/>
        <w:rPr>
          <w:i w:val="1"/>
          <w:iCs w:val="1"/>
          <w:color w:val="999999"/>
        </w:rPr>
      </w:pPr>
      <w:r w:rsidDel="00000000" w:rsidR="00000000" w:rsidRPr="00000000">
        <w:rPr>
          <w:i w:val="1"/>
          <w:iCs w:val="1"/>
          <w:color w:val="999999"/>
          <w:rtl w:val="0"/>
        </w:rPr>
        <w:t xml:space="preserve">Actores considerados "lobbistas"</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44. En lo que respecta a los </w:t>
      </w:r>
      <w:r w:rsidDel="00000000" w:rsidR="00000000" w:rsidRPr="00000000">
        <w:rPr>
          <w:b w:val="1"/>
          <w:bCs w:val="1"/>
          <w:rtl w:val="0"/>
        </w:rPr>
        <w:t xml:space="preserve">actores que realizan actividades de cabildeo</w:t>
      </w:r>
      <w:r w:rsidDel="00000000" w:rsidR="00000000" w:rsidRPr="00000000">
        <w:rPr>
          <w:rtl w:val="0"/>
        </w:rPr>
        <w:t xml:space="preserve"> y aquellos en cuyo nombre se realizan dichas actividades, la Recomendación de la OCDE sobre Transparencia e Integridad en el Cabildeo y la Influencia fomenta una amplia La definición de cabilderos, que va más allá de los actores profesionales o remunerados, incluye una gama más amplia de personas y organizaciones, nacionales o extranjeras, que influyen en la toma de decisiones públicas (OCDE, 2010 [2]). De hecho, lo que determina si un actor específico debe estar sujeto a los requisitos de transparencia sobre las actividades de cabildeo no es su condición, ya sea con o sin fines de lucro, remunerado o no específicamente por realizar dichas actividades, sino si realiza actividades para influir en los procesos de toma de decisiones públicas. En este sentido, los países deberían promover mecanismos para mejorar la transparencia en torno a las influencias sobre la formulación de políticas públicas, en lugar de intentar regular o controlar la conducta de actores específicos.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45. El proyecto de ley sobre cabildeo abarcaba una amplia gama de actores, incluyendo tanto a cabilderos internos como a consultores que representan a clientes. Distinguía entre "cabilderos" (consultores externos que cabildean en nombre de clientes) y "gestores de intereses" (entidades jurídicas o grupos como asociaciones comerciales, grupos vecinales, empresas, organizaciones de la sociedad civil, abogados, universidades, etc.). Organizaciones sin fines de lucro y organizaciones religiosas) que buscan influir en las decisiones públicas.</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46. En cuanto a la distinción entre “lobistas” y “gestores de intereses”, la OCDE recomienda evitar dicha diferenciación y, en su lugar, adoptar un término único e inclusivo, como “lobista” o “representante de intereses”. En países donde existe esta distinción, como Chile, a menudo ha generado confusión y ha creado lagunas que permiten a ciertos actores evadir los requisitos de divulgación. También puede reforzar la percepción de que quienes se registran como “gestores de intereses” no son verdaderos lobistas. Una alternativa más eficaz es el modelo canadiense, que distingue entre lobistas “internos” y “consultores”, manteniendo la terminología general de “lobista” para garantizar la coherencia y la claridad.</w:t>
      </w:r>
    </w:p>
    <w:p w:rsidR="00000000" w:rsidDel="00000000" w:rsidP="00000000" w:rsidRDefault="00000000" w:rsidRPr="00000000" w14:paraId="00000161">
      <w:pPr>
        <w:ind w:left="0" w:firstLine="0"/>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47. En cuanto a los actores específicos que se verían afectados por el alcance, la inclusión de las organizaciones religiosas en el proyecto de ley es particularmente notable. Si bien muchos países de la OCDE las eximen, estos grupos pueden ejercer una influencia significativa en la formulación de políticas. En la República Dominicana, la Iglesia Católica ha tenido una larga influencia política, mientras que las iglesias evangélicas han cobrado mayor relevancia en las últimas décadas. Por ejemplo, en 2022, el Ministerio de Educación derogó una orden departamental sobre igualdad de género tras la fuerte oposición de los grupos religiosos. De igual manera, en 2010, la Iglesia Católica apoyó con éxito una enmienda constitucional que establecía la prohibición total del aborto. Estos ejemplos reflejan el papel de los actores religiosos en la formulación de políticas públicas, en particular en cuestiones sociales (Bertelsmann Stiftung, 2024 [8]). Varias partes interesadas entrevistadas señalaron la importante influencia de las iglesias, y algunas las describieron como "grupos de presión invisibles" cuyos intereses a menudo se cruzan con agendas políticas o económicas. Si bien hubo cierto debate sobre si los grupos religiosos deberían estar cubiertos, dada su naturaleza no comercial, la mayoría coincidió en que todos los grupos de interés capaces de influir en la toma de decisiones públicas deberían estar incluidos en el marco, independientemente de su estatus legal o institucional.</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48. Dicho esto, un entorno en el que la sociedad civil pueda operar con seguridad es una condición previa para la inclusión de las organizaciones de la sociedad civil y los grupos religiosos en cualquier marco de cabildeo. Por lo tanto, la inclusión de los grupos religiosos en el ámbito de la regulación del cabildeo no debe tener como objetivo estigmatizar o restringir su incidencia. Como cualquier otro grupo, tienen derecho a promover sus opiniones. Sin embargo, cuando dicha incidencia influye en las decisiones públicas sobre cuestiones sociales clave, es conveniente garantizar la transparencia sometiendo sus actividades de cabildeo a los mismos estándares que otros grupos de interés.</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ind w:firstLine="720"/>
        <w:rPr/>
      </w:pPr>
      <w:r w:rsidDel="00000000" w:rsidR="00000000" w:rsidRPr="00000000">
        <w:rPr>
          <w:i w:val="1"/>
          <w:iCs w:val="1"/>
          <w:color w:val="999999"/>
          <w:rtl w:val="0"/>
        </w:rPr>
        <w:t xml:space="preserve">Actividades consideradas “lobby”</w:t>
      </w: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49. En cuanto a los tipos de comunicación considerados como “lobby”, la Recomendación de la OCDE sobre Transparencia e Integridad en el Lobby y la Influencia promueve una interpretación amplia, que refleje la gama completa de herramientas utilizadas para influir en la toma de decisiones públicas. Si bien el proyecto de ley sobre lobby en la República Dominicana no definió explícitamente las formas de comunicación contempladas, pareció centrarse principalmente en reuniones y audiencias formales, similar al enfoque de Chile y Perú. Sin embargo, un enfoque tan limitado en las reuniones de lobby planificadas dejaría fuera otras formas de influencia, incluidas las comunicaciones informales o ad hoc, como las comunicaciones escritas (intercambios de correo electrónico, mensajes de WhatsApp) o las reuniones improvisadas en las que posteriormente se realizan actividades de lobby.</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50. Además, las formas indirectas de lobby, como las campañas de comunicación y el uso de las redes sociales, también podrían considerarse dentro del alcance. Conocidas a menudo como “lobbying de base”, Estos esfuerzos buscan movilizar la opinión pública para influir en los responsables políticos y, con frecuencia, están impulsados ​​por actores bien financiados. A pesar de que hasta la fecha rara vez se contemplan en las regulaciones de cabildeo de la OCDE, muchos países están considerando su inclusión dada su creciente prevalencia e impacto (OCDE, 2021).</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51. En la República Dominicana, las organizaciones de la sociedad civil y otros grupos de interés influyen frecuentemente en los debates políticos a través de los medios tradicionales (prensa escrita, radio y televisión) y, cada vez más, a través de las redes sociales. Las plataformas digitales han ampliado su alcance, permitiendo que actores más diversos, desde movimientos de base hasta intereses empresariales, influyan en el discurso público en tiempo real, a menudo con mayor inmediatez que las formas tradicionales de cabildeo.</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52. En este contexto, adoptar una definición más amplia de la comunicación de cabildeo en la República Dominicana reflejaría mejor la dinámica actual de influencia. Al mismo tiempo, como se mencionó anteriormente en relación con los actores cubiertos, es crucial garantizar que cualquier marco regulatorio de cabildeo preserve un espacio seguro y abierto para la sociedad civil. Una ley de cabildeo nunca debe utilizarse para estigmatizar o reprimir la incidencia política y la actividad de base, sino para promover la formulación de políticas justa y transparente al exigir la divulgación de quienes están detrás de campañas que buscan moldear las políticas públicas. El recuadro 8.3 ofrece una visión general de la experiencia de los miembros de la OCDE a la hora de establecer definiciones claras, completas y amplias sobre el cabildeo.</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pPr>
            <w:r w:rsidDel="00000000" w:rsidR="00000000" w:rsidRPr="00000000">
              <w:rPr>
                <w:b w:val="1"/>
                <w:bCs w:val="1"/>
                <w:color w:val="3c78d8"/>
                <w:rtl w:val="0"/>
              </w:rPr>
              <w:t xml:space="preserve">Recuadro 8.3. Ejemplos de definiciones generales de «lobbying» entre los miembros de la OCDE</w:t>
            </w:r>
            <w:r w:rsidDel="00000000" w:rsidR="00000000" w:rsidRPr="00000000">
              <w:rPr>
                <w:rtl w:val="0"/>
              </w:rPr>
            </w:r>
          </w:p>
          <w:p w:rsidR="00000000" w:rsidDel="00000000" w:rsidP="00000000" w:rsidRDefault="00000000" w:rsidRPr="00000000" w14:paraId="00000172">
            <w:pPr>
              <w:widowControl w:val="0"/>
              <w:spacing w:line="240" w:lineRule="auto"/>
              <w:rPr/>
            </w:pPr>
            <w:r w:rsidDel="00000000" w:rsidR="00000000" w:rsidRPr="00000000">
              <w:rPr>
                <w:rtl w:val="0"/>
              </w:rPr>
            </w:r>
          </w:p>
          <w:p w:rsidR="00000000" w:rsidDel="00000000" w:rsidP="00000000" w:rsidRDefault="00000000" w:rsidRPr="00000000" w14:paraId="00000173">
            <w:pPr>
              <w:widowControl w:val="0"/>
              <w:spacing w:line="240" w:lineRule="auto"/>
              <w:rPr>
                <w:b w:val="1"/>
                <w:bCs w:val="1"/>
              </w:rPr>
            </w:pPr>
            <w:r w:rsidDel="00000000" w:rsidR="00000000" w:rsidRPr="00000000">
              <w:rPr>
                <w:b w:val="1"/>
                <w:bCs w:val="1"/>
                <w:rtl w:val="0"/>
              </w:rPr>
              <w:t xml:space="preserve">Canadá</w:t>
            </w:r>
          </w:p>
          <w:p w:rsidR="00000000" w:rsidDel="00000000" w:rsidP="00000000" w:rsidRDefault="00000000" w:rsidRPr="00000000" w14:paraId="00000174">
            <w:pPr>
              <w:widowControl w:val="0"/>
              <w:spacing w:line="240" w:lineRule="auto"/>
              <w:rPr/>
            </w:pPr>
            <w:r w:rsidDel="00000000" w:rsidR="00000000" w:rsidRPr="00000000">
              <w:rPr>
                <w:rtl w:val="0"/>
              </w:rPr>
            </w:r>
          </w:p>
          <w:p w:rsidR="00000000" w:rsidDel="00000000" w:rsidP="00000000" w:rsidRDefault="00000000" w:rsidRPr="00000000" w14:paraId="00000175">
            <w:pPr>
              <w:widowControl w:val="0"/>
              <w:spacing w:line="240" w:lineRule="auto"/>
              <w:rPr/>
            </w:pPr>
            <w:r w:rsidDel="00000000" w:rsidR="00000000" w:rsidRPr="00000000">
              <w:rPr>
                <w:rtl w:val="0"/>
              </w:rPr>
              <w:t xml:space="preserve">Las comunicaciones consideradas como lobbying incluyen las comunicaciones directas con un funcionario público federal (es decir, ya sea por escrito u oralmente) y las comunicaciones de base. La Ley de Lobbying define las comunicaciones de base como </w:t>
            </w:r>
            <w:r w:rsidDel="00000000" w:rsidR="00000000" w:rsidRPr="00000000">
              <w:rPr>
                <w:i w:val="1"/>
                <w:iCs w:val="1"/>
                <w:rtl w:val="0"/>
              </w:rPr>
              <w:t xml:space="preserve">«cualquier llamamiento al público a través de los medios de comunicación o por comunicación directa que busque persuadir a dicho público para que se comunique directamente con un funcionario público con el fin de presionarlo para que respalde una opinión particular»</w:t>
            </w:r>
            <w:r w:rsidDel="00000000" w:rsidR="00000000" w:rsidRPr="00000000">
              <w:rPr>
                <w:rtl w:val="0"/>
              </w:rPr>
              <w:t xml:space="preserve">. Para los lobistas consultores (quienes ejercen lobby en nombre de sus clientes), organizar una reunión entre un funcionario público y cualquier otra persona también se considera lobbying.</w:t>
            </w:r>
          </w:p>
          <w:p w:rsidR="00000000" w:rsidDel="00000000" w:rsidP="00000000" w:rsidRDefault="00000000" w:rsidRPr="00000000" w14:paraId="00000176">
            <w:pPr>
              <w:widowControl w:val="0"/>
              <w:spacing w:line="240" w:lineRule="auto"/>
              <w:rPr/>
            </w:pPr>
            <w:r w:rsidDel="00000000" w:rsidR="00000000" w:rsidRPr="00000000">
              <w:rPr>
                <w:rtl w:val="0"/>
              </w:rPr>
            </w:r>
          </w:p>
          <w:p w:rsidR="00000000" w:rsidDel="00000000" w:rsidP="00000000" w:rsidRDefault="00000000" w:rsidRPr="00000000" w14:paraId="00000177">
            <w:pPr>
              <w:widowControl w:val="0"/>
              <w:spacing w:line="240" w:lineRule="auto"/>
              <w:rPr/>
            </w:pPr>
            <w:r w:rsidDel="00000000" w:rsidR="00000000" w:rsidRPr="00000000">
              <w:rPr>
                <w:rtl w:val="0"/>
              </w:rPr>
              <w:t xml:space="preserve">Los medios utilizados para atraer al público en general pueden incluir campañas de cartas y mensajes electrónicos, anuncios, sitios web, publicaciones en redes sociales y plataformas. La participación en las actividades estratégicas y operativas de un llamamiento al público en general (aprobación de artículos, asesoramiento, realización de investigaciones y análisis, redacción de mensajes, preparación y difusión de contenido e interacción con el público) también requiere registro.</w:t>
            </w:r>
          </w:p>
          <w:p w:rsidR="00000000" w:rsidDel="00000000" w:rsidP="00000000" w:rsidRDefault="00000000" w:rsidRPr="00000000" w14:paraId="00000178">
            <w:pPr>
              <w:widowControl w:val="0"/>
              <w:spacing w:line="240" w:lineRule="auto"/>
              <w:rPr/>
            </w:pPr>
            <w:r w:rsidDel="00000000" w:rsidR="00000000" w:rsidRPr="00000000">
              <w:rPr>
                <w:rtl w:val="0"/>
              </w:rPr>
            </w:r>
          </w:p>
          <w:p w:rsidR="00000000" w:rsidDel="00000000" w:rsidP="00000000" w:rsidRDefault="00000000" w:rsidRPr="00000000" w14:paraId="00000179">
            <w:pPr>
              <w:widowControl w:val="0"/>
              <w:spacing w:line="240" w:lineRule="auto"/>
              <w:rPr>
                <w:b w:val="1"/>
                <w:bCs w:val="1"/>
              </w:rPr>
            </w:pPr>
            <w:r w:rsidDel="00000000" w:rsidR="00000000" w:rsidRPr="00000000">
              <w:rPr>
                <w:b w:val="1"/>
                <w:bCs w:val="1"/>
                <w:rtl w:val="0"/>
              </w:rPr>
              <w:t xml:space="preserve">Irlanda</w:t>
            </w:r>
          </w:p>
          <w:p w:rsidR="00000000" w:rsidDel="00000000" w:rsidP="00000000" w:rsidRDefault="00000000" w:rsidRPr="00000000" w14:paraId="0000017A">
            <w:pPr>
              <w:widowControl w:val="0"/>
              <w:spacing w:line="240" w:lineRule="auto"/>
              <w:rPr/>
            </w:pPr>
            <w:r w:rsidDel="00000000" w:rsidR="00000000" w:rsidRPr="00000000">
              <w:rPr>
                <w:rtl w:val="0"/>
              </w:rPr>
            </w:r>
          </w:p>
          <w:p w:rsidR="00000000" w:rsidDel="00000000" w:rsidP="00000000" w:rsidRDefault="00000000" w:rsidRPr="00000000" w14:paraId="0000017B">
            <w:pPr>
              <w:widowControl w:val="0"/>
              <w:spacing w:line="240" w:lineRule="auto"/>
              <w:rPr/>
            </w:pPr>
            <w:r w:rsidDel="00000000" w:rsidR="00000000" w:rsidRPr="00000000">
              <w:rPr>
                <w:rtl w:val="0"/>
              </w:rPr>
              <w:t xml:space="preserve">Las comunicaciones relevantes son las comunicaciones (orales o escritas, independientemente de cómo se realicen) realizadas personalmente (directa o indirectamente) a un funcionario público designado en relación con un asunto relevante. También pueden incluir comunicaciones informales, como encuentros casuales, reuniones sociales, mensajes en redes sociales dirigidos a funcionarios públicos, o comunicación de base, definida como una actividad en la que una organización instruye a sus miembros o simpatizantes para que se pongan en contacto con funcionarios públicos sobre un asunto concreto.</w:t>
            </w:r>
          </w:p>
          <w:p w:rsidR="00000000" w:rsidDel="00000000" w:rsidP="00000000" w:rsidRDefault="00000000" w:rsidRPr="00000000" w14:paraId="0000017C">
            <w:pPr>
              <w:widowControl w:val="0"/>
              <w:spacing w:line="240" w:lineRule="auto"/>
              <w:rPr/>
            </w:pPr>
            <w:r w:rsidDel="00000000" w:rsidR="00000000" w:rsidRPr="00000000">
              <w:rPr>
                <w:rtl w:val="0"/>
              </w:rPr>
            </w:r>
          </w:p>
          <w:p w:rsidR="00000000" w:rsidDel="00000000" w:rsidP="00000000" w:rsidRDefault="00000000" w:rsidRPr="00000000" w14:paraId="0000017D">
            <w:pPr>
              <w:widowControl w:val="0"/>
              <w:spacing w:line="240" w:lineRule="auto"/>
              <w:rPr>
                <w:b w:val="1"/>
                <w:bCs w:val="1"/>
              </w:rPr>
            </w:pPr>
            <w:r w:rsidDel="00000000" w:rsidR="00000000" w:rsidRPr="00000000">
              <w:rPr>
                <w:b w:val="1"/>
                <w:bCs w:val="1"/>
                <w:rtl w:val="0"/>
              </w:rPr>
              <w:t xml:space="preserve">Unión Europea</w:t>
            </w:r>
          </w:p>
          <w:p w:rsidR="00000000" w:rsidDel="00000000" w:rsidP="00000000" w:rsidRDefault="00000000" w:rsidRPr="00000000" w14:paraId="0000017E">
            <w:pPr>
              <w:widowControl w:val="0"/>
              <w:spacing w:line="240" w:lineRule="auto"/>
              <w:rPr/>
            </w:pPr>
            <w:r w:rsidDel="00000000" w:rsidR="00000000" w:rsidRPr="00000000">
              <w:rPr>
                <w:rtl w:val="0"/>
              </w:rPr>
            </w:r>
          </w:p>
          <w:p w:rsidR="00000000" w:rsidDel="00000000" w:rsidP="00000000" w:rsidRDefault="00000000" w:rsidRPr="00000000" w14:paraId="0000017F">
            <w:pPr>
              <w:widowControl w:val="0"/>
              <w:spacing w:line="240" w:lineRule="auto"/>
              <w:rPr/>
            </w:pPr>
            <w:r w:rsidDel="00000000" w:rsidR="00000000" w:rsidRPr="00000000">
              <w:rPr>
                <w:rtl w:val="0"/>
              </w:rPr>
              <w:t xml:space="preserve">En la Unión Europea, el Acuerdo Interinstitucional entre el Parlamento Europeo, el Consejo de la Unión Europea y la Comisión Europea sobre un registro obligatorio de transparencia define las «actividades cubiertas» como: a) organizar o participar en reuniones, conferencias o eventos, así como mantener cualquier contacto similar con las instituciones de la Unión; (b) contribuir o participar en consultas, audiencias u otras iniciativas similares; (c) organizar campañas de comunicación, plataformas, redes e iniciativas de base; (d) preparar o encargar documentos de política y posición, enmiendas, sondeos de opinión, cartas abiertas y otro material de comunicación o información, y encargar y llevar a cabo investigaciones.</w:t>
            </w:r>
          </w:p>
          <w:p w:rsidR="00000000" w:rsidDel="00000000" w:rsidP="00000000" w:rsidRDefault="00000000" w:rsidRPr="00000000" w14:paraId="00000180">
            <w:pPr>
              <w:widowControl w:val="0"/>
              <w:spacing w:line="240" w:lineRule="auto"/>
              <w:rPr/>
            </w:pPr>
            <w:r w:rsidDel="00000000" w:rsidR="00000000" w:rsidRPr="00000000">
              <w:rPr>
                <w:rtl w:val="0"/>
              </w:rPr>
            </w:r>
          </w:p>
          <w:p w:rsidR="00000000" w:rsidDel="00000000" w:rsidP="00000000" w:rsidRDefault="00000000" w:rsidRPr="00000000" w14:paraId="00000181">
            <w:pPr>
              <w:widowControl w:val="0"/>
              <w:spacing w:line="240" w:lineRule="auto"/>
              <w:rPr/>
            </w:pPr>
            <w:r w:rsidDel="00000000" w:rsidR="00000000" w:rsidRPr="00000000">
              <w:rPr>
                <w:rtl w:val="0"/>
              </w:rPr>
              <w:t xml:space="preserve">Fuente:</w:t>
            </w:r>
          </w:p>
        </w:tc>
      </w:tr>
    </w:tbl>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ind w:left="720" w:firstLine="0"/>
        <w:rPr>
          <w:b w:val="1"/>
          <w:bCs w:val="1"/>
        </w:rPr>
      </w:pPr>
      <w:r w:rsidDel="00000000" w:rsidR="00000000" w:rsidRPr="00000000">
        <w:rPr>
          <w:b w:val="1"/>
          <w:bCs w:val="1"/>
          <w:rtl w:val="0"/>
        </w:rPr>
        <w:t xml:space="preserve">8.2.2. El marco regulatorio propuesto para el cabildeo podría mejorar la transparencia mediante diversas medidas complementarias, como un registro público de cabilderos, la divulgación de las agendas de las reuniones de los funcionarios y el establecimiento de un registro obligatorio para la toma de decisiones.</w:t>
      </w:r>
    </w:p>
    <w:p w:rsidR="00000000" w:rsidDel="00000000" w:rsidP="00000000" w:rsidRDefault="00000000" w:rsidRPr="00000000" w14:paraId="00000184">
      <w:pPr>
        <w:ind w:left="720" w:firstLine="0"/>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53. Una vez establecido el marco regulatorio, un paso fundamental para mejorar la transparencia en el cabildeo es el establecimiento de mecanismos y herramientas que permitan a los funcionarios públicos, las empresas y la sociedad civil comprender quién ha intentado influir en la toma de decisiones públicas y sobre qué temas. Estos mecanismos deben garantizar la divulgación de información relevante y oportuna sobre los aspectos clave de las actividades de cabildeo, fortaleciendo así la supervisión pública de la información, el asesoramiento y los intereses que influyen en las decisiones de los responsables políticos (OCDE, 2010 [2]).</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54. La transparencia puede garantizarse mediante diversos medios complementarios que, en última instancia, deberían tener como objetivo aclarar quién realiza cabildeo, en nombre de quién, a quién lo realiza, cómo lo hace y con qué propósito (Tabla 8.4). En la mayoría de los países de la OCDE, la responsabilidad principal de la divulgación recae en los grupos de presión, quienes deben registrarse e informar sobre sus actividades a través de un registro de actividades de presión. Un modelo alternativo o adicional impone la obligación de divulgación a los funcionarios públicos, exigiéndoles que informen a sus superiores sobre las reuniones con grupos de presión, ya sea mediante agendas abiertas, registros específicos o requisitos de informes internos. Las huellas del proceso de toma de decisiones públicas, que se refieren a la documentación que detalla las partes interesadas que intentaron influir en la decisión o fueron consultadas en su desarrollo, y muestran qué aportaciones se presentaron al proceso de toma de decisiones públicas en particular y qué medidas se tomaron para garantizar la inclusión de las partes interesadas en el desarrollo de la regulación, constituyen también una vía adicional para la transparencia. Al combinarse, estos enfoques pueden contribuir a una visión más completa y accesible de la influencia en la toma de decisiones públicas.</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b w:val="1"/>
          <w:bCs w:val="1"/>
          <w:color w:val="3c78d8"/>
        </w:rPr>
      </w:pPr>
      <w:r w:rsidDel="00000000" w:rsidR="00000000" w:rsidRPr="00000000">
        <w:rPr>
          <w:b w:val="1"/>
          <w:bCs w:val="1"/>
          <w:color w:val="3c78d8"/>
          <w:rtl w:val="0"/>
        </w:rPr>
        <w:t xml:space="preserve">Tabla 8.4. Herramientas para garantizar la transparencia en el cabildeo</w:t>
      </w:r>
    </w:p>
    <w:p w:rsidR="00000000" w:rsidDel="00000000" w:rsidP="00000000" w:rsidRDefault="00000000" w:rsidRPr="00000000" w14:paraId="0000018A">
      <w:pPr>
        <w:rPr>
          <w:b w:val="1"/>
          <w:bCs w:val="1"/>
          <w:color w:val="3c78d8"/>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960"/>
        <w:tblGridChange w:id="0">
          <w:tblGrid>
            <w:gridCol w:w="2400"/>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Registros de cabildeo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Registros públicos, voluntarios u obligatorios, en los que los cabilderos y/o funcionarios públicos deben divulgar información sobre sus interacciones. La información divulgada puede incluir el propósito del cabildeo, sus beneficiarios y las actividades específicas realizadas.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Agendas públicas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pPr>
            <w:r w:rsidDel="00000000" w:rsidR="00000000" w:rsidRPr="00000000">
              <w:rPr>
                <w:rtl w:val="0"/>
              </w:rPr>
              <w:t xml:space="preserve">Obligación de ciertas categorías de funcionarios públicos de publicar su agenda en línea, incluyendo sus reuniones con organizaciones externas y grupos de interés.</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rPr>
            </w:pPr>
            <w:r w:rsidDel="00000000" w:rsidR="00000000" w:rsidRPr="00000000">
              <w:rPr>
                <w:b w:val="1"/>
                <w:bCs w:val="1"/>
                <w:rtl w:val="0"/>
              </w:rPr>
              <w:t xml:space="preserve">Huellas de la toma de decisiones públicas</w:t>
            </w:r>
          </w:p>
          <w:p w:rsidR="00000000" w:rsidDel="00000000" w:rsidP="00000000" w:rsidRDefault="00000000" w:rsidRPr="00000000" w14:paraId="00000191">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pPr>
            <w:r w:rsidDel="00000000" w:rsidR="00000000" w:rsidRPr="00000000">
              <w:rPr>
                <w:rtl w:val="0"/>
              </w:rPr>
              <w:t xml:space="preserve">Documentación que detalla las partes interesadas que intentaron influir en la decisión o fueron consultadas en su desarrollo, y que muestra qué aportaciones se presentaron al proceso de toma de decisiones públicas y qué medidas se tomaron para garantizar la inclusión de las partes interesadas en el desarrollo de la regulación.</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94">
      <w:pPr>
        <w:rPr>
          <w:b w:val="1"/>
          <w:bCs w:val="1"/>
          <w:color w:val="3c78d8"/>
        </w:rPr>
      </w:pPr>
      <w:r w:rsidDel="00000000" w:rsidR="00000000" w:rsidRPr="00000000">
        <w:rPr>
          <w:rtl w:val="0"/>
        </w:rPr>
      </w:r>
    </w:p>
    <w:p w:rsidR="00000000" w:rsidDel="00000000" w:rsidP="00000000" w:rsidRDefault="00000000" w:rsidRPr="00000000" w14:paraId="00000195">
      <w:pPr>
        <w:ind w:left="0" w:firstLine="0"/>
        <w:rPr>
          <w:sz w:val="18"/>
          <w:szCs w:val="18"/>
        </w:rPr>
      </w:pPr>
      <w:r w:rsidDel="00000000" w:rsidR="00000000" w:rsidRPr="00000000">
        <w:rPr>
          <w:sz w:val="18"/>
          <w:szCs w:val="18"/>
          <w:rtl w:val="0"/>
        </w:rPr>
        <w:t xml:space="preserve">Fuente: (OCDE, 2010 [2] ; OCDE, 2021</w:t>
      </w:r>
    </w:p>
    <w:p w:rsidR="00000000" w:rsidDel="00000000" w:rsidP="00000000" w:rsidRDefault="00000000" w:rsidRPr="00000000" w14:paraId="00000196">
      <w:pPr>
        <w:ind w:left="0" w:firstLine="0"/>
        <w:rPr>
          <w:sz w:val="18"/>
          <w:szCs w:val="18"/>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55. En 2025, el 63 % de los países de la OCDE (en comparación con el 51 % en 2022) y el 21 % de los países socios (Brasil, Croacia, Rumania, Serbia y Ucrania) contaban con un registro público que proporcionaba información sobre actividades de lobby (OCDE, próxima publicación [15]). Contar con un registro de lobby no garantiza, por sí solo, una transparencia adecuada, dada la significativa variación en el alcance y la calidad de estos registros.</w:t>
      </w:r>
    </w:p>
    <w:p w:rsidR="00000000" w:rsidDel="00000000" w:rsidP="00000000" w:rsidRDefault="00000000" w:rsidRPr="00000000" w14:paraId="00000198">
      <w:pPr>
        <w:rPr/>
      </w:pPr>
      <w:r w:rsidDel="00000000" w:rsidR="00000000" w:rsidRPr="00000000">
        <w:rPr>
          <w:rtl w:val="0"/>
        </w:rPr>
        <w:t xml:space="preserve">Un primer paso para garantizar que los registros de lobby proporcionen una transparencia significativa es establecer requisitos de divulgación que reflejen cómo se lleva a cabo el lobby en la práctica, permitiendo a las partes interesadas, incluidas las autoridades gubernamentales, las organizaciones de la sociedad civil, las empresas, los medios de comunicación y el público en general, comprender plenamente el alcance y la profundidad de estas actividades.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56. Sin embargo, en muchos países de la OCDE, las medidas de transparencia no alcanzan este objetivo. De los </w:t>
      </w:r>
      <w:r w:rsidDel="00000000" w:rsidR="00000000" w:rsidRPr="00000000">
        <w:rPr>
          <w:highlight w:val="yellow"/>
          <w:rtl w:val="0"/>
        </w:rPr>
        <w:t xml:space="preserve">20</w:t>
      </w:r>
      <w:r w:rsidDel="00000000" w:rsidR="00000000" w:rsidRPr="00000000">
        <w:rPr>
          <w:rtl w:val="0"/>
        </w:rPr>
        <w:t xml:space="preserve"> países de la OCDE y los 5 países socios que cuentan con un registro operativo, todos exigen la divulgación del nombre del lobista. Sin embargo, solo 16 países exigen información sobre el tipo de actividades de cabildeo realizadas. Un número aún menor de países exige la divulgación de las iniciativas legislativas o regulatorias específicas a las que se dirigen, y solo 5 países incluyen esta información, a pesar de su importancia fundamental para comprender cómo se influyen las políticas públicas. De igual manera, solo 10 países exigen la divulgación de los presupuestos de cabildeo o los gastos relacionados (Figura 8.4). Estas deficiencias limitan la capacidad de los registros de cabildeo para fomentar la conducta ética, apoyar una mejor formulación de políticas y generar confianza pública. La divulgación insuficiente de los aspectos concretos del cabildeo, en particular los objetivos políticos o legislativos específicos, también puede incentivar prácticas más opacas o manipuladoras, especialmente cuando los registrantes solo deben revelar su identidad y, cuando corresponda, la de su cliente.</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b w:val="1"/>
          <w:bCs w:val="1"/>
          <w:color w:val="3c78d8"/>
          <w:rtl w:val="0"/>
        </w:rPr>
        <w:t xml:space="preserve">Figura 8.4. Características de los registros de cabildeo por país</w:t>
      </w:r>
      <w:r w:rsidDel="00000000" w:rsidR="00000000" w:rsidRPr="00000000">
        <w:rPr>
          <w:rtl w:val="0"/>
        </w:rPr>
      </w:r>
    </w:p>
    <w:p w:rsidR="00000000" w:rsidDel="00000000" w:rsidP="00000000" w:rsidRDefault="00000000" w:rsidRPr="00000000" w14:paraId="0000019D">
      <w:pPr>
        <w:ind w:left="0" w:firstLine="0"/>
        <w:rPr>
          <w:sz w:val="18"/>
          <w:szCs w:val="18"/>
        </w:rPr>
      </w:pPr>
      <w:r w:rsidDel="00000000" w:rsidR="00000000" w:rsidRPr="00000000">
        <w:rPr>
          <w:rtl w:val="0"/>
        </w:rPr>
      </w:r>
    </w:p>
    <w:p w:rsidR="00000000" w:rsidDel="00000000" w:rsidP="00000000" w:rsidRDefault="00000000" w:rsidRPr="00000000" w14:paraId="0000019E">
      <w:pPr>
        <w:ind w:left="0" w:firstLine="0"/>
        <w:rPr>
          <w:sz w:val="18"/>
          <w:szCs w:val="18"/>
        </w:rPr>
      </w:pPr>
      <w:r w:rsidDel="00000000" w:rsidR="00000000" w:rsidRPr="00000000">
        <w:rPr>
          <w:sz w:val="18"/>
          <w:szCs w:val="18"/>
        </w:rPr>
        <w:drawing>
          <wp:inline distB="114300" distT="114300" distL="114300" distR="114300">
            <wp:extent cx="5943600" cy="4533900"/>
            <wp:effectExtent b="0" l="0" r="0" t="0"/>
            <wp:docPr id="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943600" cy="4533900"/>
                    </a:xfrm>
                    <a:prstGeom prst="rect"/>
                    <a:ln/>
                  </pic:spPr>
                </pic:pic>
              </a:graphicData>
            </a:graphic>
          </wp:inline>
        </w:drawing>
      </w:r>
      <w:r w:rsidDel="00000000" w:rsidR="00000000" w:rsidRPr="00000000">
        <w:rPr>
          <w:rtl w:val="0"/>
        </w:rPr>
      </w:r>
    </w:p>
    <w:p w:rsidR="00000000" w:rsidDel="00000000" w:rsidP="00000000" w:rsidRDefault="00000000" w:rsidRPr="00000000" w14:paraId="0000019F">
      <w:pPr>
        <w:ind w:left="0" w:firstLine="0"/>
        <w:rPr>
          <w:sz w:val="18"/>
          <w:szCs w:val="18"/>
        </w:rPr>
      </w:pPr>
      <w:r w:rsidDel="00000000" w:rsidR="00000000" w:rsidRPr="00000000">
        <w:rPr>
          <w:rtl w:val="0"/>
        </w:rPr>
      </w:r>
    </w:p>
    <w:p w:rsidR="00000000" w:rsidDel="00000000" w:rsidP="00000000" w:rsidRDefault="00000000" w:rsidRPr="00000000" w14:paraId="000001A0">
      <w:pPr>
        <w:rPr>
          <w:sz w:val="18"/>
          <w:szCs w:val="18"/>
        </w:rPr>
      </w:pPr>
      <w:r w:rsidDel="00000000" w:rsidR="00000000" w:rsidRPr="00000000">
        <w:rPr>
          <w:sz w:val="18"/>
          <w:szCs w:val="18"/>
        </w:rPr>
        <w:drawing>
          <wp:inline distB="114300" distT="114300" distL="114300" distR="114300">
            <wp:extent cx="5943600" cy="2260600"/>
            <wp:effectExtent b="0" l="0" r="0" t="0"/>
            <wp:docPr id="4"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5943600"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1A1">
      <w:pPr>
        <w:rPr>
          <w:sz w:val="18"/>
          <w:szCs w:val="18"/>
        </w:rPr>
      </w:pPr>
      <w:r w:rsidDel="00000000" w:rsidR="00000000" w:rsidRPr="00000000">
        <w:rPr>
          <w:rtl w:val="0"/>
        </w:rPr>
      </w:r>
    </w:p>
    <w:p w:rsidR="00000000" w:rsidDel="00000000" w:rsidP="00000000" w:rsidRDefault="00000000" w:rsidRPr="00000000" w14:paraId="000001A2">
      <w:pPr>
        <w:rPr>
          <w:sz w:val="18"/>
          <w:szCs w:val="18"/>
        </w:rPr>
      </w:pPr>
      <w:r w:rsidDel="00000000" w:rsidR="00000000" w:rsidRPr="00000000">
        <w:rPr>
          <w:sz w:val="18"/>
          <w:szCs w:val="18"/>
          <w:rtl w:val="0"/>
        </w:rPr>
        <w:t xml:space="preserve">Nota: Datos basados ​​en los valores de cada país según los criterios «La información divulgada por los grupos de presión en el registro incluye su nombre, organización, ámbito de intervención y tipo de actividades de cabildeo», «La información divulgada por los grupos de presión en el registro incluye el presupuesto/gastos de las actividades de cabildeo y las leyes y regulaciones a las que se dirigen» y «El registro de grupos de presión es accesible en línea».</w:t>
      </w:r>
    </w:p>
    <w:p w:rsidR="00000000" w:rsidDel="00000000" w:rsidP="00000000" w:rsidRDefault="00000000" w:rsidRPr="00000000" w14:paraId="000001A3">
      <w:pPr>
        <w:rPr>
          <w:sz w:val="18"/>
          <w:szCs w:val="18"/>
        </w:rPr>
      </w:pPr>
      <w:r w:rsidDel="00000000" w:rsidR="00000000" w:rsidRPr="00000000">
        <w:rPr>
          <w:sz w:val="18"/>
          <w:szCs w:val="18"/>
          <w:rtl w:val="0"/>
        </w:rPr>
        <w:t xml:space="preserve">Fuente: Base de datos de indicadores de integridad pública de la OCDE</w:t>
      </w:r>
    </w:p>
    <w:p w:rsidR="00000000" w:rsidDel="00000000" w:rsidP="00000000" w:rsidRDefault="00000000" w:rsidRPr="00000000" w14:paraId="000001A4">
      <w:pPr>
        <w:ind w:left="0" w:firstLine="0"/>
        <w:rPr>
          <w:sz w:val="18"/>
          <w:szCs w:val="18"/>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57. En este sentido, las disposiciones de transparencia propuestas en el proyecto de ley sobre cabildeo se ajustaban adecuadamente a las buenas prácticas internacionales y a la Recomendación de la OCDE sobre Transparencia e Integridad en el Cabildeo, que exige la divulgación detallada de la política pública o regulación específica a la que se dirige, los objetivos perseguidos y cualquier documentación de apoyo proporcionada por los cabilderos (OCDE, 2010 [2]). El proyecto de ley habría establecido un </w:t>
      </w:r>
      <w:r w:rsidDel="00000000" w:rsidR="00000000" w:rsidRPr="00000000">
        <w:rPr>
          <w:b w:val="1"/>
          <w:bCs w:val="1"/>
          <w:rtl w:val="0"/>
        </w:rPr>
        <w:t xml:space="preserve">Registro Nacional de Cabilderos</w:t>
      </w:r>
      <w:r w:rsidDel="00000000" w:rsidR="00000000" w:rsidRPr="00000000">
        <w:rPr>
          <w:rtl w:val="0"/>
        </w:rPr>
        <w:t xml:space="preserve">, accesible a través de portales de datos abiertos, donde el registro de los cabilderos sería obligatorio antes de realizar cualquier actividad de cabildeo. El registro incluiría:</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numPr>
          <w:ilvl w:val="0"/>
          <w:numId w:val="16"/>
        </w:numPr>
        <w:ind w:left="720" w:hanging="360"/>
        <w:rPr>
          <w:u w:val="none"/>
        </w:rPr>
      </w:pPr>
      <w:r w:rsidDel="00000000" w:rsidR="00000000" w:rsidRPr="00000000">
        <w:rPr>
          <w:rtl w:val="0"/>
        </w:rPr>
        <w:t xml:space="preserve">El objetivo y el resultado previsto de la actividad de cabildeo</w:t>
      </w:r>
    </w:p>
    <w:p w:rsidR="00000000" w:rsidDel="00000000" w:rsidP="00000000" w:rsidRDefault="00000000" w:rsidRPr="00000000" w14:paraId="000001A8">
      <w:pPr>
        <w:numPr>
          <w:ilvl w:val="0"/>
          <w:numId w:val="16"/>
        </w:numPr>
        <w:ind w:left="720" w:hanging="360"/>
        <w:rPr>
          <w:u w:val="none"/>
        </w:rPr>
      </w:pPr>
      <w:r w:rsidDel="00000000" w:rsidR="00000000" w:rsidRPr="00000000">
        <w:rPr>
          <w:rtl w:val="0"/>
        </w:rPr>
        <w:t xml:space="preserve">El beneficiario o beneficiarios finales</w:t>
      </w:r>
    </w:p>
    <w:p w:rsidR="00000000" w:rsidDel="00000000" w:rsidP="00000000" w:rsidRDefault="00000000" w:rsidRPr="00000000" w14:paraId="000001A9">
      <w:pPr>
        <w:numPr>
          <w:ilvl w:val="0"/>
          <w:numId w:val="16"/>
        </w:numPr>
        <w:ind w:left="720" w:hanging="360"/>
        <w:rPr>
          <w:u w:val="none"/>
        </w:rPr>
      </w:pPr>
      <w:r w:rsidDel="00000000" w:rsidR="00000000" w:rsidRPr="00000000">
        <w:rPr>
          <w:rtl w:val="0"/>
        </w:rPr>
        <w:t xml:space="preserve">La institución pública o el funcionario destinatario</w:t>
      </w:r>
    </w:p>
    <w:p w:rsidR="00000000" w:rsidDel="00000000" w:rsidP="00000000" w:rsidRDefault="00000000" w:rsidRPr="00000000" w14:paraId="000001AA">
      <w:pPr>
        <w:numPr>
          <w:ilvl w:val="0"/>
          <w:numId w:val="16"/>
        </w:numPr>
        <w:ind w:left="720" w:hanging="360"/>
        <w:rPr>
          <w:u w:val="none"/>
        </w:rPr>
      </w:pPr>
      <w:r w:rsidDel="00000000" w:rsidR="00000000" w:rsidRPr="00000000">
        <w:rPr>
          <w:rtl w:val="0"/>
        </w:rPr>
        <w:t xml:space="preserve">La documentación intercambiada durante las actividades de cabildeo</w:t>
      </w:r>
    </w:p>
    <w:p w:rsidR="00000000" w:rsidDel="00000000" w:rsidP="00000000" w:rsidRDefault="00000000" w:rsidRPr="00000000" w14:paraId="000001AB">
      <w:pPr>
        <w:numPr>
          <w:ilvl w:val="0"/>
          <w:numId w:val="16"/>
        </w:numPr>
        <w:ind w:left="720" w:hanging="360"/>
        <w:rPr>
          <w:u w:val="none"/>
        </w:rPr>
      </w:pPr>
      <w:r w:rsidDel="00000000" w:rsidR="00000000" w:rsidRPr="00000000">
        <w:rPr>
          <w:rtl w:val="0"/>
        </w:rPr>
        <w:t xml:space="preserve">Las fuentes de financiación de la actividad de cabildeo, desglosadas por cliente</w:t>
      </w:r>
    </w:p>
    <w:p w:rsidR="00000000" w:rsidDel="00000000" w:rsidP="00000000" w:rsidRDefault="00000000" w:rsidRPr="00000000" w14:paraId="000001AC">
      <w:pPr>
        <w:numPr>
          <w:ilvl w:val="0"/>
          <w:numId w:val="16"/>
        </w:numPr>
        <w:ind w:left="720" w:hanging="360"/>
        <w:rPr>
          <w:u w:val="none"/>
        </w:rPr>
      </w:pPr>
      <w:r w:rsidDel="00000000" w:rsidR="00000000" w:rsidRPr="00000000">
        <w:rPr>
          <w:rtl w:val="0"/>
        </w:rPr>
        <w:t xml:space="preserve">Los gastos relacionados con el cabildeo, incluyendo los bienes y servicios</w:t>
      </w:r>
    </w:p>
    <w:p w:rsidR="00000000" w:rsidDel="00000000" w:rsidP="00000000" w:rsidRDefault="00000000" w:rsidRPr="00000000" w14:paraId="000001AD">
      <w:pPr>
        <w:numPr>
          <w:ilvl w:val="0"/>
          <w:numId w:val="16"/>
        </w:numPr>
        <w:ind w:left="720" w:hanging="360"/>
        <w:rPr>
          <w:u w:val="none"/>
        </w:rPr>
      </w:pPr>
      <w:r w:rsidDel="00000000" w:rsidR="00000000" w:rsidRPr="00000000">
        <w:rPr>
          <w:rtl w:val="0"/>
        </w:rPr>
        <w:t xml:space="preserve">Los cargos públicos ocupados por el cabildero o sus familiares cercanos</w:t>
      </w:r>
    </w:p>
    <w:p w:rsidR="00000000" w:rsidDel="00000000" w:rsidP="00000000" w:rsidRDefault="00000000" w:rsidRPr="00000000" w14:paraId="000001AE">
      <w:pPr>
        <w:numPr>
          <w:ilvl w:val="0"/>
          <w:numId w:val="16"/>
        </w:numPr>
        <w:ind w:left="720" w:hanging="360"/>
        <w:rPr>
          <w:u w:val="none"/>
        </w:rPr>
      </w:pPr>
      <w:r w:rsidDel="00000000" w:rsidR="00000000" w:rsidRPr="00000000">
        <w:rPr>
          <w:rtl w:val="0"/>
        </w:rPr>
        <w:t xml:space="preserve">Cualquier financiación pública recibida, cuando corresponda</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58. Exigir la divulgación de los informes periciales y los documentos de posición presentados por los representantes de los intereses a los funcionarios públicos también es una buena práctica, actualmente solo observada en Alemania. De igual manera, exigir la divulgación de empleos anteriores ya se ha hecho en países como Canadá, Irlanda y Alemania. Esto aumentaría la transparencia y facilitaría un mejor seguimiento de la "puerta giratoria" entre los sectores público y privado.</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59. El proyecto de ley también proponía actualizaciones trimestrales del registro, que incluirían informes que detallaran las reuniones de cabildeo (fechas, lugares, funcionarios o instituciones involucrados), los intereses representados, cualquier compensación recibida y los gastos de viaje relacionados. La exigencia de informes trimestrales se ajusta a los estándares internacionales, como se observa en Irlanda. La experiencia de los países de la OCDE demuestra que la presentación de informes trimestrales o semestrales logra un equilibrio eficaz entre garantizar la transparencia y limitar las cargas administrativas. Canadá sigue siendo el único país que exige la divulgación mensual.</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60. El proyecto de ley también habría exigido que cada institución estatal dominicana objeto de actividades de cabildeo publicara, en sus portales de información de acceso abierto, un informe segmentado con la lista de todos los cabilderos registrados formalmente en esa institución, siguiendo el modelo vigente en Chile.</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61. Si bien la legislación futura podría considerar la ampliación de los requisitos de divulgación trimestral para abarcar otras formas de cabildeo, como el cabildeo de base y las campañas de comunicación estratégica, las disposiciones del proyecto de ley ya son ambiciosas y representarían un avance significativo en la promoción de la transparencia. Por lo tanto, se recomienda que cualquier propuesta legislativa futura mantenga, como mínimo, este nivel de ambición para garantizar una supervisión significativa de las actividades de cabildeo e influencia.</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62. Además de los registros de cabildeo, otras herramientas de transparencia descritas en la Tabla 8.4 también pueden ayudar a aclarar quiénes configuran el proceso de formulación de políticas. Por ejemplo, el marco regulatorio del cabildeo podría incluir una disposición que exija la publicación de un registro obligatorio de la toma de decisiones para todas las decisiones públicas relevantes contempladas en el marco, o al menos para categorías específicas como actos administrativos, proyectos de ley y leyes. Esto implicaría exigir a las autoridades públicas que revelen qué actores participaron en actividades de cabildeo y cómo ejercieron su influencia, así como a quién se consultó para obtener opiniones, asesoramiento experto y recomendaciones. Este enfoque iría más allá de las disposiciones del anterior proyecto de ley sobre cabildeo, que exigía al Senado y a la Cámara de Diputados publicar informes legislativos agrupados por tema, incluyendo descripciones de las audiencias públicas y la participación de los cabilderos registrados.</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63. Por último, otra herramienta importante de transparencia podría ser la publicación de agendas abiertas para ciertas categorías de funcionarios públicos. Estas agendas detallarían las reuniones celebradas por los funcionarios públicos, incluyendo la fecha y hora, las partes interesadas involucradas y el propósito de cada reunión, independientemente de si se realizó cabildeo. Al igual que con los registros de cabildeo, las agendas abiertas son más eficaces cuando proporcionan detalles significativos, incluyendo información sobre los temas discutidos, los objetivos perseguidos por los cabilderos y los asuntos políticos o legislativos abordados. Los ejemplos de Argentina y Brasil se presentan en el Recuadro 8.4.</w:t>
      </w:r>
    </w:p>
    <w:p w:rsidR="00000000" w:rsidDel="00000000" w:rsidP="00000000" w:rsidRDefault="00000000" w:rsidRPr="00000000" w14:paraId="000001BB">
      <w:pPr>
        <w:ind w:left="0" w:firstLine="0"/>
        <w:rPr/>
      </w:pPr>
      <w:r w:rsidDel="00000000" w:rsidR="00000000" w:rsidRPr="00000000">
        <w:rPr>
          <w:rtl w:val="0"/>
        </w:rPr>
      </w:r>
    </w:p>
    <w:p w:rsidR="00000000" w:rsidDel="00000000" w:rsidP="00000000" w:rsidRDefault="00000000" w:rsidRPr="00000000" w14:paraId="000001BC">
      <w:pPr>
        <w:ind w:left="0" w:firstLine="0"/>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color w:val="3c78d8"/>
              </w:rPr>
            </w:pPr>
            <w:r w:rsidDel="00000000" w:rsidR="00000000" w:rsidRPr="00000000">
              <w:rPr>
                <w:b w:val="1"/>
                <w:bCs w:val="1"/>
                <w:color w:val="3c78d8"/>
                <w:rtl w:val="0"/>
              </w:rPr>
              <w:t xml:space="preserve">Recuadro 8.4. Agendas abiertas en Argentina y Brasil</w:t>
            </w:r>
          </w:p>
          <w:p w:rsidR="00000000" w:rsidDel="00000000" w:rsidP="00000000" w:rsidRDefault="00000000" w:rsidRPr="00000000" w14:paraId="000001BE">
            <w:pPr>
              <w:widowControl w:val="0"/>
              <w:spacing w:line="240" w:lineRule="auto"/>
              <w:rPr/>
            </w:pPr>
            <w:r w:rsidDel="00000000" w:rsidR="00000000" w:rsidRPr="00000000">
              <w:rPr>
                <w:rtl w:val="0"/>
              </w:rPr>
            </w:r>
          </w:p>
          <w:p w:rsidR="00000000" w:rsidDel="00000000" w:rsidP="00000000" w:rsidRDefault="00000000" w:rsidRPr="00000000" w14:paraId="000001BF">
            <w:pPr>
              <w:widowControl w:val="0"/>
              <w:spacing w:line="240" w:lineRule="auto"/>
              <w:rPr/>
            </w:pPr>
            <w:r w:rsidDel="00000000" w:rsidR="00000000" w:rsidRPr="00000000">
              <w:rPr>
                <w:rtl w:val="0"/>
              </w:rPr>
              <w:t xml:space="preserve">En</w:t>
            </w:r>
            <w:r w:rsidDel="00000000" w:rsidR="00000000" w:rsidRPr="00000000">
              <w:rPr>
                <w:b w:val="1"/>
                <w:bCs w:val="1"/>
                <w:rtl w:val="0"/>
              </w:rPr>
              <w:t xml:space="preserve"> Argentina</w:t>
            </w:r>
            <w:r w:rsidDel="00000000" w:rsidR="00000000" w:rsidRPr="00000000">
              <w:rPr>
                <w:rtl w:val="0"/>
              </w:rPr>
              <w:t xml:space="preserve">, el Decreto 1172/2003 estableció el Reglamento General sobre la Transparencia de la Representación de Intereses ante el Poder Ejecutivo Nacional. El decreto creó un Registro Único de Reuniones de Representación de Intereses, que exige a los funcionarios públicos designados registrar sus reuniones con lobistas. Esta información es de acceso público a través de la plataforma </w:t>
            </w:r>
            <w:hyperlink r:id="rId16">
              <w:r w:rsidDel="00000000" w:rsidR="00000000" w:rsidRPr="00000000">
                <w:rPr>
                  <w:color w:val="1155cc"/>
                  <w:u w:val="single"/>
                  <w:rtl w:val="0"/>
                </w:rPr>
                <w:t xml:space="preserve">https://audiencias.mininterior.gob.ar/</w:t>
              </w:r>
            </w:hyperlink>
            <w:r w:rsidDel="00000000" w:rsidR="00000000" w:rsidRPr="00000000">
              <w:rPr>
                <w:rtl w:val="0"/>
              </w:rPr>
              <w:t xml:space="preserve">. Los funcionarios sujetos a la divulgación incluyen al Presidente, Vicepresidente, Jefe de Gabinete de Ministros, Ministros, Secretarios y Subsecretarios, así como a las altas autoridades de organismos, entidades, empresas, corporaciones y otros organismos del Poder Ejecutivo. El requisito también se extiende a los funcionarios públicos con funciones ejecutivas con rango de Director General o superior.</w:t>
            </w:r>
          </w:p>
          <w:p w:rsidR="00000000" w:rsidDel="00000000" w:rsidP="00000000" w:rsidRDefault="00000000" w:rsidRPr="00000000" w14:paraId="000001C0">
            <w:pPr>
              <w:widowControl w:val="0"/>
              <w:spacing w:line="240" w:lineRule="auto"/>
              <w:rPr/>
            </w:pPr>
            <w:r w:rsidDel="00000000" w:rsidR="00000000" w:rsidRPr="00000000">
              <w:rPr>
                <w:rtl w:val="0"/>
              </w:rPr>
            </w:r>
          </w:p>
          <w:p w:rsidR="00000000" w:rsidDel="00000000" w:rsidP="00000000" w:rsidRDefault="00000000" w:rsidRPr="00000000" w14:paraId="000001C1">
            <w:pPr>
              <w:widowControl w:val="0"/>
              <w:spacing w:line="240" w:lineRule="auto"/>
              <w:rPr/>
            </w:pPr>
            <w:r w:rsidDel="00000000" w:rsidR="00000000" w:rsidRPr="00000000">
              <w:rPr>
                <w:rtl w:val="0"/>
              </w:rPr>
              <w:t xml:space="preserve">En </w:t>
            </w:r>
            <w:r w:rsidDel="00000000" w:rsidR="00000000" w:rsidRPr="00000000">
              <w:rPr>
                <w:b w:val="1"/>
                <w:bCs w:val="1"/>
                <w:rtl w:val="0"/>
              </w:rPr>
              <w:t xml:space="preserve">Brasil</w:t>
            </w:r>
            <w:r w:rsidDel="00000000" w:rsidR="00000000" w:rsidRPr="00000000">
              <w:rPr>
                <w:rtl w:val="0"/>
              </w:rPr>
              <w:t xml:space="preserve">, el Decreto 10.889/2021 (que regula el inciso VI del art. 5 y el art. 11 de la Ley 12.813/2013 sobre conflictos de intereses), adoptado en 2021, obliga a divulgar los nombramientos públicos de ciertos funcionarios del Poder Ejecutivo, su participación en audiencias con representantes del sector privado y en eventos político-electorales, así como la recepción de regalos, atenciones y otros beneficios de personas ajenas al gobierno. El Decreto incluye las definiciones de «representación privada de intereses» y «representante de intereses» y prevé el establecimiento del Sistema Electrónico de Agendas del Poder Ejecutivo Federal (e-Agendas), una plataforma única de transparencia donde se publica diariamente información sobre las agendas públicas de estos funcionarios.</w:t>
            </w:r>
          </w:p>
          <w:p w:rsidR="00000000" w:rsidDel="00000000" w:rsidP="00000000" w:rsidRDefault="00000000" w:rsidRPr="00000000" w14:paraId="000001C2">
            <w:pPr>
              <w:widowControl w:val="0"/>
              <w:spacing w:line="240" w:lineRule="auto"/>
              <w:rPr/>
            </w:pPr>
            <w:r w:rsidDel="00000000" w:rsidR="00000000" w:rsidRPr="00000000">
              <w:rPr>
                <w:rtl w:val="0"/>
              </w:rPr>
            </w:r>
          </w:p>
          <w:p w:rsidR="00000000" w:rsidDel="00000000" w:rsidP="00000000" w:rsidRDefault="00000000" w:rsidRPr="00000000" w14:paraId="000001C3">
            <w:pPr>
              <w:widowControl w:val="0"/>
              <w:spacing w:line="240" w:lineRule="auto"/>
              <w:rPr>
                <w:sz w:val="18"/>
                <w:szCs w:val="18"/>
              </w:rPr>
            </w:pPr>
            <w:r w:rsidDel="00000000" w:rsidR="00000000" w:rsidRPr="00000000">
              <w:rPr>
                <w:sz w:val="18"/>
                <w:szCs w:val="18"/>
                <w:rtl w:val="0"/>
              </w:rPr>
              <w:t xml:space="preserve">Fuente: Información proporcionada a través de la base de datos de Indicadores de Integridad Pública de la OCDE.</w:t>
            </w:r>
          </w:p>
        </w:tc>
      </w:tr>
    </w:tbl>
    <w:p w:rsidR="00000000" w:rsidDel="00000000" w:rsidP="00000000" w:rsidRDefault="00000000" w:rsidRPr="00000000" w14:paraId="000001C4">
      <w:pPr>
        <w:ind w:left="0" w:firstLine="0"/>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64. En países que combinan agendas abiertas con registros de cabildeo, como el Reino Unido y Lituania, el cruce de ambas fuentes puede proporcionar información valiosa sobre quién intentó influir en funcionarios públicos, cuándo y sobre qué temas. Este doble enfoque refuerza la supervisión y permite una comprensión más completa de la dinámica de influencia en la formulación de políticas.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65. Sin embargo, cuando se utilizan como alternativa, en lugar de como complemento, a los registros de cabildeo, las agendas abiertas ofrecen solo una visión parcial de la actividad de cabildeo, ya que capturan reuniones, pero no otros canales importantes de influencia, como las comunicaciones escritas, el cabildeo de base, las campañas en redes sociales o la financiación de organizaciones externas. Esto refuerza la importancia de establecer un ecosistema coherente y complementario de herramientas de transparencia para el cabildeo y la influencia, en el que los datos puedan, en la medida de lo posible, centralizarse o contrastarse entre diferentes mecanismos de divulgación.</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66. Una vez establecido un marco regulatorio para el cabildeo y sus herramientas asociadas, será especialmente importante desarrollar plataformas de divulgación innovadoras y fáciles de usar para todos los actores obligados a reportar información sobre cabildeo. Estas plataformas deberían reducir las cargas de cumplimiento para los registrantes, a la vez que mejoran la consistencia, la integridad y la calidad de los datos recopilados. Unos datos mejor estructurados, a su vez, mejorarán la capacidad de los registros y otras herramientas de transparencia para proporcionar información significativa sobre las prácticas de cabildeo e influencia.</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67. Al mismo tiempo, será crucial centralizar y publicar la información recopilada a través de registros de cabildeo, agendas abiertas y huellas de toma de decisiones mediante un portal público que facilite el acceso y la interpretación de grandes volúmenes de datos. Si bien estos portales pueden adoptar diferentes formas, deben ir más allá de las listas estáticas o las divulgaciones aisladas que ofrecen una visión limitada de la dinámica del cabildeo o su influencia en la toma de decisiones públicas. Para ser eficaces, estos portales deben funcionar como ecosistemas de información integrados para ciudadanos, cabilderos y funcionarios públicos, maximizando la usabilidad y el valor público de los datos divulgados. En la práctica, esto requiere que los usuarios puedan buscar, filtrar y ordenar la información por criterios clave (como el nombre del lobista, la organización a la que representa, el área política en cuestión o la iniciativa legislativa o regulatoria a la que se dirige) y cruzar esta información con otros conjuntos de datos relevantes, incluyendo el financiamiento político y las donaciones.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ind w:left="720" w:firstLine="0"/>
        <w:rPr>
          <w:b w:val="1"/>
          <w:bCs w:val="1"/>
        </w:rPr>
      </w:pPr>
      <w:r w:rsidDel="00000000" w:rsidR="00000000" w:rsidRPr="00000000">
        <w:rPr>
          <w:b w:val="1"/>
          <w:bCs w:val="1"/>
          <w:rtl w:val="0"/>
        </w:rPr>
        <w:t xml:space="preserve">8.2.3. Se podrían establecer normas de transparencia e integridad para los grupos consultivos y de expertos gubernamentales, incluyendo las actividades de cabildeo dirigidas a estos grupos.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68. Los gobiernos de la OCDE recurren ampliamente a los grupos consultivos y de expertos para fundamentar el diseño y la implementación de políticas públicas. Un grupo consultivo o de expertos se refiere a cualquier comité, junta, comisión, consejo, conferencia, panel, grupo de trabajo o grupo similar, o cualquier subcomité u otro subgrupo de estos, que brinde asesoramiento, experiencia o recomendaciones a los gobiernos. Dichos grupos están compuestos por miembros del sector público y privado y/o representantes de la sociedad civil, y pueden ser creados por los poderes ejecutivo, legislativo o judicial. Estos grupos pueden ser permanentes o establecerse ad hoc para responder a necesidades específicas en un período determinado (OCDE, 2010 [2]; OCDE, 2021).</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69. Los presidentes y miembros de grupos asesores o de expertos pueden contribuir a fortalecer la toma de decisiones basada en la evidencia. Sin embargo, sin suficientes garantías de transparencia e integridad, existe el riesgo de que se socave la legitimidad del asesoramiento de los grupos de expertos. Los representantes externos que participan en estos grupos tienen acceso directo a los procesos de formulación de políticas, a menudo sin estar sujetos a presiones ni a normas de integridad más amplias, y pueden, inconscientemente o no, favorecer sus propios intereses al participar en la formulación de políticas.</w:t>
      </w:r>
    </w:p>
    <w:p w:rsidR="00000000" w:rsidDel="00000000" w:rsidP="00000000" w:rsidRDefault="00000000" w:rsidRPr="00000000" w14:paraId="000001D2">
      <w:pPr>
        <w:ind w:left="0" w:firstLine="0"/>
        <w:rPr/>
      </w:pPr>
      <w:r w:rsidDel="00000000" w:rsidR="00000000" w:rsidRPr="00000000">
        <w:rPr>
          <w:rtl w:val="0"/>
        </w:rPr>
      </w:r>
    </w:p>
    <w:p w:rsidR="00000000" w:rsidDel="00000000" w:rsidP="00000000" w:rsidRDefault="00000000" w:rsidRPr="00000000" w14:paraId="000001D3">
      <w:pPr>
        <w:ind w:left="0" w:firstLine="0"/>
        <w:rPr/>
      </w:pPr>
      <w:r w:rsidDel="00000000" w:rsidR="00000000" w:rsidRPr="00000000">
        <w:rPr>
          <w:rtl w:val="0"/>
        </w:rPr>
        <w:t xml:space="preserve">70. Para preservar los beneficios de la formulación de políticas inclusivas y, al mismo tiempo, prevenir la influencia indebida, el marco legal podría incorporar salvaguardas específicas de transparencia e integridad que equilibren el derecho de las partes interesadas externas a participar en los grupos consultivos y de expertos del gobierno con la necesidad de protegerse contra la captura de políticas o el asesoramiento sesgado por parte de grupos de interés que participan en estos grupos. Un enfoque eficaz sería integrar estas disposiciones en el marco regulatorio del cabildeo. Por ejemplo, se podría exigir a las instituciones públicas sujetas a la ley de cabildeo que adopten normas y directrices formales que establezcan estándares mínimos para la composición, el funcionamiento y la transparencia de los grupos consultivos y de expertos que involucren a personas externas al gobierno. Estas normas podrían incluir procedimientos claros para el nombramiento, la divulgación de intereses, las agendas de las reuniones y la publicación de recomendaciones. A su vez, la participación en estos grupos estructurados, cuando se lleve a cabo de acuerdo con estos estándares mínimos, podría excluirse explícitamente de la definición de comunicaciones de "cabildeo", fomentando así una participación abierta y transparente, a la vez que se mantiene la integridad del proceso. El Código de Transparencia para los grupos de trabajo en Irlanda (Recuadro 8.5) puede servir como un ejemplo útil.</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color w:val="3c78d8"/>
              </w:rPr>
            </w:pPr>
            <w:r w:rsidDel="00000000" w:rsidR="00000000" w:rsidRPr="00000000">
              <w:rPr>
                <w:b w:val="1"/>
                <w:bCs w:val="1"/>
                <w:color w:val="3c78d8"/>
                <w:rtl w:val="0"/>
              </w:rPr>
              <w:t xml:space="preserve">Recuadro 8.5. Código de Transparencia para Grupos de Trabajo en Irlanda</w:t>
            </w:r>
          </w:p>
          <w:p w:rsidR="00000000" w:rsidDel="00000000" w:rsidP="00000000" w:rsidRDefault="00000000" w:rsidRPr="00000000" w14:paraId="000001D5">
            <w:pPr>
              <w:widowControl w:val="0"/>
              <w:spacing w:line="240" w:lineRule="auto"/>
              <w:rPr/>
            </w:pPr>
            <w:r w:rsidDel="00000000" w:rsidR="00000000" w:rsidRPr="00000000">
              <w:rPr>
                <w:rtl w:val="0"/>
              </w:rPr>
            </w:r>
          </w:p>
          <w:p w:rsidR="00000000" w:rsidDel="00000000" w:rsidP="00000000" w:rsidRDefault="00000000" w:rsidRPr="00000000" w14:paraId="000001D6">
            <w:pPr>
              <w:widowControl w:val="0"/>
              <w:spacing w:line="240" w:lineRule="auto"/>
              <w:rPr/>
            </w:pPr>
            <w:r w:rsidDel="00000000" w:rsidR="00000000" w:rsidRPr="00000000">
              <w:rPr>
                <w:rtl w:val="0"/>
              </w:rPr>
              <w:t xml:space="preserve">En Irlanda, la Ley de Regulación del Lobby de 2015 incluye una lista de comunicaciones exceptuadas (Sección 5, subsección 5(n)). Esta lista incluye las comunicaciones entre miembros de un organismo pertinente designado por un Ministro del Gobierno o por un organismo de la función pública, que incluya al menos un funcionario público designado y al menos una persona ajena a la función pública, y que revise, evalúe o analice cualquier asunto de política pública con el fin de informar al respecto al Ministro del Gobierno o al organismo de la función pública.</w:t>
            </w:r>
          </w:p>
          <w:p w:rsidR="00000000" w:rsidDel="00000000" w:rsidP="00000000" w:rsidRDefault="00000000" w:rsidRPr="00000000" w14:paraId="000001D7">
            <w:pPr>
              <w:widowControl w:val="0"/>
              <w:spacing w:line="240" w:lineRule="auto"/>
              <w:rPr/>
            </w:pPr>
            <w:r w:rsidDel="00000000" w:rsidR="00000000" w:rsidRPr="00000000">
              <w:rPr>
                <w:rtl w:val="0"/>
              </w:rPr>
            </w:r>
          </w:p>
          <w:p w:rsidR="00000000" w:rsidDel="00000000" w:rsidP="00000000" w:rsidRDefault="00000000" w:rsidRPr="00000000" w14:paraId="000001D8">
            <w:pPr>
              <w:widowControl w:val="0"/>
              <w:spacing w:line="240" w:lineRule="auto"/>
              <w:rPr/>
            </w:pPr>
            <w:r w:rsidDel="00000000" w:rsidR="00000000" w:rsidRPr="00000000">
              <w:rPr>
                <w:rtl w:val="0"/>
              </w:rPr>
              <w:t xml:space="preserve">Sin embargo, la excepción solo se aplica si el organismo pertinente realiza sus actividades de conformidad con un Código de Transparencia elaborado por el Departamento de Gasto Público y Reforma, de conformidad con la Sección 5 (7) de la Ley. La siguiente información debe publicarse en el sitio web del organismo público en el momento de su constitución:</w:t>
            </w:r>
          </w:p>
          <w:p w:rsidR="00000000" w:rsidDel="00000000" w:rsidP="00000000" w:rsidRDefault="00000000" w:rsidRPr="00000000" w14:paraId="000001D9">
            <w:pPr>
              <w:widowControl w:val="0"/>
              <w:spacing w:line="240" w:lineRule="auto"/>
              <w:rPr/>
            </w:pPr>
            <w:r w:rsidDel="00000000" w:rsidR="00000000" w:rsidRPr="00000000">
              <w:rPr>
                <w:rtl w:val="0"/>
              </w:rPr>
            </w:r>
          </w:p>
          <w:p w:rsidR="00000000" w:rsidDel="00000000" w:rsidP="00000000" w:rsidRDefault="00000000" w:rsidRPr="00000000" w14:paraId="000001DA">
            <w:pPr>
              <w:widowControl w:val="0"/>
              <w:numPr>
                <w:ilvl w:val="0"/>
                <w:numId w:val="1"/>
              </w:numPr>
              <w:spacing w:line="240" w:lineRule="auto"/>
              <w:ind w:left="720" w:hanging="360"/>
              <w:rPr>
                <w:u w:val="none"/>
              </w:rPr>
            </w:pPr>
            <w:r w:rsidDel="00000000" w:rsidR="00000000" w:rsidRPr="00000000">
              <w:rPr>
                <w:rtl w:val="0"/>
              </w:rPr>
              <w:t xml:space="preserve">Nombres del presidente y los miembros, con detalles de la organización para la que trabajan (si representan a un grupo de partes interesadas, debe indicarse).</w:t>
            </w:r>
          </w:p>
          <w:p w:rsidR="00000000" w:rsidDel="00000000" w:rsidP="00000000" w:rsidRDefault="00000000" w:rsidRPr="00000000" w14:paraId="000001DB">
            <w:pPr>
              <w:widowControl w:val="0"/>
              <w:spacing w:line="240" w:lineRule="auto"/>
              <w:ind w:left="720" w:firstLine="0"/>
              <w:rPr/>
            </w:pPr>
            <w:r w:rsidDel="00000000" w:rsidR="00000000" w:rsidRPr="00000000">
              <w:rPr>
                <w:rtl w:val="0"/>
              </w:rPr>
            </w:r>
          </w:p>
          <w:p w:rsidR="00000000" w:rsidDel="00000000" w:rsidP="00000000" w:rsidRDefault="00000000" w:rsidRPr="00000000" w14:paraId="000001DC">
            <w:pPr>
              <w:widowControl w:val="0"/>
              <w:numPr>
                <w:ilvl w:val="0"/>
                <w:numId w:val="1"/>
              </w:numPr>
              <w:spacing w:line="240" w:lineRule="auto"/>
              <w:ind w:left="720" w:hanging="360"/>
              <w:rPr>
                <w:u w:val="none"/>
              </w:rPr>
            </w:pPr>
            <w:r w:rsidDel="00000000" w:rsidR="00000000" w:rsidRPr="00000000">
              <w:rPr>
                <w:rtl w:val="0"/>
              </w:rPr>
              <w:t xml:space="preserve">Si los miembros externos al sector público fueron anteriormente funcionarios públicos.</w:t>
            </w:r>
          </w:p>
          <w:p w:rsidR="00000000" w:rsidDel="00000000" w:rsidP="00000000" w:rsidRDefault="00000000" w:rsidRPr="00000000" w14:paraId="000001DD">
            <w:pPr>
              <w:widowControl w:val="0"/>
              <w:spacing w:line="240" w:lineRule="auto"/>
              <w:ind w:left="720" w:firstLine="0"/>
              <w:rPr/>
            </w:pPr>
            <w:r w:rsidDel="00000000" w:rsidR="00000000" w:rsidRPr="00000000">
              <w:rPr>
                <w:rtl w:val="0"/>
              </w:rPr>
            </w:r>
          </w:p>
          <w:p w:rsidR="00000000" w:rsidDel="00000000" w:rsidP="00000000" w:rsidRDefault="00000000" w:rsidRPr="00000000" w14:paraId="000001DE">
            <w:pPr>
              <w:widowControl w:val="0"/>
              <w:numPr>
                <w:ilvl w:val="0"/>
                <w:numId w:val="1"/>
              </w:numPr>
              <w:spacing w:line="240" w:lineRule="auto"/>
              <w:ind w:left="720" w:hanging="360"/>
              <w:rPr>
                <w:u w:val="none"/>
              </w:rPr>
            </w:pPr>
            <w:r w:rsidDel="00000000" w:rsidR="00000000" w:rsidRPr="00000000">
              <w:rPr>
                <w:rtl w:val="0"/>
              </w:rPr>
              <w:t xml:space="preserve">Mandatos del grupo.</w:t>
            </w:r>
          </w:p>
          <w:p w:rsidR="00000000" w:rsidDel="00000000" w:rsidP="00000000" w:rsidRDefault="00000000" w:rsidRPr="00000000" w14:paraId="000001DF">
            <w:pPr>
              <w:widowControl w:val="0"/>
              <w:spacing w:line="240" w:lineRule="auto"/>
              <w:ind w:left="720" w:firstLine="0"/>
              <w:rPr/>
            </w:pPr>
            <w:r w:rsidDel="00000000" w:rsidR="00000000" w:rsidRPr="00000000">
              <w:rPr>
                <w:rtl w:val="0"/>
              </w:rPr>
            </w:r>
          </w:p>
          <w:p w:rsidR="00000000" w:rsidDel="00000000" w:rsidP="00000000" w:rsidRDefault="00000000" w:rsidRPr="00000000" w14:paraId="000001E0">
            <w:pPr>
              <w:widowControl w:val="0"/>
              <w:numPr>
                <w:ilvl w:val="0"/>
                <w:numId w:val="1"/>
              </w:numPr>
              <w:spacing w:line="240" w:lineRule="auto"/>
              <w:ind w:left="720" w:hanging="360"/>
              <w:rPr>
                <w:u w:val="none"/>
              </w:rPr>
            </w:pPr>
            <w:r w:rsidDel="00000000" w:rsidR="00000000" w:rsidRPr="00000000">
              <w:rPr>
                <w:rtl w:val="0"/>
              </w:rPr>
              <w:t xml:space="preserve">Plazo previsto para que el grupo concluya su trabajo.</w:t>
            </w:r>
          </w:p>
          <w:p w:rsidR="00000000" w:rsidDel="00000000" w:rsidP="00000000" w:rsidRDefault="00000000" w:rsidRPr="00000000" w14:paraId="000001E1">
            <w:pPr>
              <w:widowControl w:val="0"/>
              <w:spacing w:line="240" w:lineRule="auto"/>
              <w:ind w:left="720" w:firstLine="0"/>
              <w:rPr/>
            </w:pPr>
            <w:r w:rsidDel="00000000" w:rsidR="00000000" w:rsidRPr="00000000">
              <w:rPr>
                <w:rtl w:val="0"/>
              </w:rPr>
            </w:r>
          </w:p>
          <w:p w:rsidR="00000000" w:rsidDel="00000000" w:rsidP="00000000" w:rsidRDefault="00000000" w:rsidRPr="00000000" w14:paraId="000001E2">
            <w:pPr>
              <w:widowControl w:val="0"/>
              <w:numPr>
                <w:ilvl w:val="0"/>
                <w:numId w:val="1"/>
              </w:numPr>
              <w:spacing w:line="240" w:lineRule="auto"/>
              <w:ind w:left="720" w:hanging="360"/>
              <w:rPr>
                <w:u w:val="none"/>
              </w:rPr>
            </w:pPr>
            <w:r w:rsidDel="00000000" w:rsidR="00000000" w:rsidRPr="00000000">
              <w:rPr>
                <w:rtl w:val="0"/>
              </w:rPr>
              <w:t xml:space="preserve">Acuerdos para la presentación de informes.</w:t>
            </w:r>
          </w:p>
          <w:p w:rsidR="00000000" w:rsidDel="00000000" w:rsidP="00000000" w:rsidRDefault="00000000" w:rsidRPr="00000000" w14:paraId="000001E3">
            <w:pPr>
              <w:widowControl w:val="0"/>
              <w:spacing w:line="240" w:lineRule="auto"/>
              <w:rPr/>
            </w:pPr>
            <w:r w:rsidDel="00000000" w:rsidR="00000000" w:rsidRPr="00000000">
              <w:rPr>
                <w:rtl w:val="0"/>
              </w:rPr>
            </w:r>
          </w:p>
          <w:p w:rsidR="00000000" w:rsidDel="00000000" w:rsidP="00000000" w:rsidRDefault="00000000" w:rsidRPr="00000000" w14:paraId="000001E4">
            <w:pPr>
              <w:widowControl w:val="0"/>
              <w:spacing w:line="240" w:lineRule="auto"/>
              <w:rPr/>
            </w:pPr>
            <w:r w:rsidDel="00000000" w:rsidR="00000000" w:rsidRPr="00000000">
              <w:rPr>
                <w:rtl w:val="0"/>
              </w:rPr>
              <w:t xml:space="preserve">Además, el orden del día y las actas de cada reunión deben publicarse y actualizarse al menos cada cuatro meses. El presidente debe incluir, junto con el informe final o anual del grupo, una declaración que confirme su cumplimiento del Código de Transparencia. Si no se cumplen los requisitos del Código, las interacciones dentro del grupo se consideran una actividad de cabildeo según el Reglamento de la Ley de Cabildeo de 2015.</w:t>
            </w:r>
          </w:p>
          <w:p w:rsidR="00000000" w:rsidDel="00000000" w:rsidP="00000000" w:rsidRDefault="00000000" w:rsidRPr="00000000" w14:paraId="000001E5">
            <w:pPr>
              <w:widowControl w:val="0"/>
              <w:spacing w:line="240" w:lineRule="auto"/>
              <w:rPr/>
            </w:pPr>
            <w:r w:rsidDel="00000000" w:rsidR="00000000" w:rsidRPr="00000000">
              <w:rPr>
                <w:rtl w:val="0"/>
              </w:rPr>
            </w:r>
          </w:p>
          <w:p w:rsidR="00000000" w:rsidDel="00000000" w:rsidP="00000000" w:rsidRDefault="00000000" w:rsidRPr="00000000" w14:paraId="000001E6">
            <w:pPr>
              <w:widowControl w:val="0"/>
              <w:spacing w:line="240" w:lineRule="auto"/>
              <w:rPr>
                <w:sz w:val="18"/>
                <w:szCs w:val="18"/>
              </w:rPr>
            </w:pPr>
            <w:r w:rsidDel="00000000" w:rsidR="00000000" w:rsidRPr="00000000">
              <w:rPr>
                <w:sz w:val="18"/>
                <w:szCs w:val="18"/>
                <w:rtl w:val="0"/>
              </w:rPr>
              <w:t xml:space="preserve">Fuente: Departamento de Gasto Público y Reforma, Código de Transparencia elaborado de conformidad con el artículo 5 (7) del Reglamento de la Ley de Cabildeo de 2015, </w:t>
            </w:r>
            <w:hyperlink r:id="rId17">
              <w:r w:rsidDel="00000000" w:rsidR="00000000" w:rsidRPr="00000000">
                <w:rPr>
                  <w:color w:val="1155cc"/>
                  <w:sz w:val="18"/>
                  <w:szCs w:val="18"/>
                  <w:u w:val="single"/>
                  <w:rtl w:val="0"/>
                </w:rPr>
                <w:t xml:space="preserve">https://www.lobbying.ie/media/5986/2015-08-06-transparency-code-eng.pdf</w:t>
              </w:r>
            </w:hyperlink>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E8">
      <w:pPr>
        <w:ind w:left="0" w:firstLine="0"/>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71. En cualquier caso, las actividades de cabildeo realizadas por grupos de interés que no forman parte formalmente de grupos asesores o de expertos, pero que buscan influir en las deliberaciones o decisiones de estos órganos, deben estar claramente contempladas en el marco regulatorio del cabildeo propuesto en la sección 8.2.1.</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b w:val="1"/>
          <w:bCs w:val="1"/>
          <w:color w:val="3c78d8"/>
        </w:rPr>
      </w:pPr>
      <w:r w:rsidDel="00000000" w:rsidR="00000000" w:rsidRPr="00000000">
        <w:rPr>
          <w:b w:val="1"/>
          <w:bCs w:val="1"/>
          <w:color w:val="3c78d8"/>
          <w:rtl w:val="0"/>
        </w:rPr>
        <w:t xml:space="preserve">8.3. Establecer un marco de integridad pública adaptado a los riesgos del cabildeo y las actividades de influencia, tanto para los cabilderos como para los funcionarios públicos.</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72. La solidez y la eficacia de un marco regulatorio del cabildeo también dependen de la integridad tanto de los funcionarios públicos como de quienes buscan influir en ellos. Sin embargo, el cabildeo y la influencia suelen ser un ejemplo donde los funcionarios públicos y los cabilderos pueden enfrentarse a dilemas éticos en casos en los que no existen respuestas legales claras sobre lo que es correcto o incorrecto, o cuando pueden existir conflictos entre diferentes valores o principios. Por lo tanto, los dilemas éticos relacionados con el cabildeo constituyen un desafío clave para las políticas de integridad. Esto es particularmente cierto en la era de las redes sociales y la sobrecarga de información, donde las idas y venidas entre los sectores público y privado son habituales, y donde los funcionarios públicos están constantemente expuestos al escrutinio y las críticas públicas, con el riesgo de que su reputación se derrumbe cada vez que una intervención se malinterpreta o se percibe erróneamente. Los grupos de presión y los actores influyentes, en particular las empresas, también están bajo un escrutinio cada vez mayor por parte de todas las partes interesadas, en particular sus propios empleados, inversores y el público en general. Esto ha aumentado significativamente las expectativas respecto a su nivel y compromiso con la integridad al participar en el proceso de formulación de políticas (OCDE, 2010 [2]; OCDE, 2021). Por ello, muchos países de la OCDE han establecido estándares mínimos de comportamiento para cabilderos y/o funcionarios públicos en sus leyes de cabildeo o códigos de conducta específicos (OCDE, 2021). En consecuencia, esta sección describe recomendaciones clave para establecer un marco de integridad pública adaptado a los riesgos del cabildeo y las actividades de influencia, tanto para cabilderos como para funcionarios públicos en la República Dominicana.</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ind w:left="720" w:firstLine="0"/>
        <w:rPr>
          <w:b w:val="1"/>
          <w:bCs w:val="1"/>
        </w:rPr>
      </w:pPr>
      <w:r w:rsidDel="00000000" w:rsidR="00000000" w:rsidRPr="00000000">
        <w:rPr>
          <w:b w:val="1"/>
          <w:bCs w:val="1"/>
          <w:rtl w:val="0"/>
        </w:rPr>
        <w:t xml:space="preserve">8.3.1. La República Dominicana podría desarrollar normas, estándares y directrices específicos para los funcionarios públicos en sus interacciones con cabilderos.</w:t>
      </w:r>
    </w:p>
    <w:p w:rsidR="00000000" w:rsidDel="00000000" w:rsidP="00000000" w:rsidRDefault="00000000" w:rsidRPr="00000000" w14:paraId="000001F0">
      <w:pPr>
        <w:rPr/>
      </w:pPr>
      <w:r w:rsidDel="00000000" w:rsidR="00000000" w:rsidRPr="00000000">
        <w:rPr>
          <w:rtl w:val="0"/>
        </w:rPr>
        <w:t xml:space="preserve">73. Las normas de integridad en el cabildeo para funcionarios públicos pueden incluirse en una ley específica sobre cabildeo, un código de conducta para cabildeo, así como en directrices específicas para las interacciones entre funcionarios públicos y partes externas. Dentro de la OCDE, 12 países cuentan con un código de conducta que regula las interacciones entre funcionarios públicos y cabilderos, respaldado por ejemplos prácticos de comportamientos y situaciones de riesgo o indeseables (OCDE, 2024 [23]).</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74. Las normas para funcionarios públicos también pueden integrarse en marcos generales como leyes, códigos de ética o códigos de conducta (incluidos los que se abordan en el Capítulo 2). Estas normas también pueden adaptarse a sectores o funciones específicos dentro de los poderes ejecutivo y legislativo, con requisitos más estrictos para personas políticamente expuestas, como parlamentarios, ministros y asesores políticos, dada su mayor exposición al cabildeo y a las actividades de influencia. Dependiendo de la naturaleza del instrumento utilizado, estas normas pueden establecer expectativas sobre cómo los funcionarios públicos interactúan con los lobistas, incluyendo, por ejemplo:</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numPr>
          <w:ilvl w:val="0"/>
          <w:numId w:val="11"/>
        </w:numPr>
        <w:ind w:left="720" w:hanging="360"/>
        <w:rPr>
          <w:u w:val="none"/>
        </w:rPr>
      </w:pPr>
      <w:r w:rsidDel="00000000" w:rsidR="00000000" w:rsidRPr="00000000">
        <w:rPr>
          <w:rtl w:val="0"/>
        </w:rPr>
        <w:t xml:space="preserve">El deber de verificar que los lobistas estén debidamente inscritos en el Registro de Lobistas o que tengan la intención de hacerlo dentro del plazo indicado.</w:t>
      </w:r>
    </w:p>
    <w:p w:rsidR="00000000" w:rsidDel="00000000" w:rsidP="00000000" w:rsidRDefault="00000000" w:rsidRPr="00000000" w14:paraId="000001F5">
      <w:pPr>
        <w:ind w:left="0" w:firstLine="0"/>
        <w:rPr/>
      </w:pPr>
      <w:r w:rsidDel="00000000" w:rsidR="00000000" w:rsidRPr="00000000">
        <w:rPr>
          <w:rtl w:val="0"/>
        </w:rPr>
      </w:r>
    </w:p>
    <w:p w:rsidR="00000000" w:rsidDel="00000000" w:rsidP="00000000" w:rsidRDefault="00000000" w:rsidRPr="00000000" w14:paraId="000001F6">
      <w:pPr>
        <w:numPr>
          <w:ilvl w:val="0"/>
          <w:numId w:val="11"/>
        </w:numPr>
        <w:ind w:left="720" w:hanging="360"/>
        <w:rPr>
          <w:u w:val="none"/>
        </w:rPr>
      </w:pPr>
      <w:r w:rsidDel="00000000" w:rsidR="00000000" w:rsidRPr="00000000">
        <w:rPr>
          <w:rtl w:val="0"/>
        </w:rPr>
        <w:t xml:space="preserve">El deber de tratar a los lobistas con igualdad, otorgándoles un acceso justo e igualitario, incluyendo el mantenimiento de la igualdad de trato con respecto a las personas, organizaciones y entidades que soliciten reuniones sobre el mismo asunto.</w:t>
      </w:r>
    </w:p>
    <w:p w:rsidR="00000000" w:rsidDel="00000000" w:rsidP="00000000" w:rsidRDefault="00000000" w:rsidRPr="00000000" w14:paraId="000001F7">
      <w:pPr>
        <w:numPr>
          <w:ilvl w:val="0"/>
          <w:numId w:val="11"/>
        </w:numPr>
        <w:ind w:left="720" w:hanging="360"/>
        <w:rPr>
          <w:u w:val="none"/>
        </w:rPr>
      </w:pPr>
      <w:r w:rsidDel="00000000" w:rsidR="00000000" w:rsidRPr="00000000">
        <w:rPr>
          <w:rtl w:val="0"/>
        </w:rPr>
        <w:t xml:space="preserve">La obligación de denunciar las infracciones de las normas vigentes sobre lobistas a las autoridades competentes.</w:t>
      </w:r>
    </w:p>
    <w:p w:rsidR="00000000" w:rsidDel="00000000" w:rsidP="00000000" w:rsidRDefault="00000000" w:rsidRPr="00000000" w14:paraId="000001F8">
      <w:pPr>
        <w:ind w:left="720" w:firstLine="0"/>
        <w:rPr/>
      </w:pPr>
      <w:r w:rsidDel="00000000" w:rsidR="00000000" w:rsidRPr="00000000">
        <w:rPr>
          <w:rtl w:val="0"/>
        </w:rPr>
      </w:r>
    </w:p>
    <w:p w:rsidR="00000000" w:rsidDel="00000000" w:rsidP="00000000" w:rsidRDefault="00000000" w:rsidRPr="00000000" w14:paraId="000001F9">
      <w:pPr>
        <w:numPr>
          <w:ilvl w:val="0"/>
          <w:numId w:val="11"/>
        </w:numPr>
        <w:ind w:left="720" w:hanging="360"/>
        <w:rPr>
          <w:u w:val="none"/>
        </w:rPr>
      </w:pPr>
      <w:r w:rsidDel="00000000" w:rsidR="00000000" w:rsidRPr="00000000">
        <w:rPr>
          <w:rtl w:val="0"/>
        </w:rPr>
        <w:t xml:space="preserve">El deber de publicar información sobre sus reuniones con lobistas (a través de un registro de lobistas o agendas abiertas).</w:t>
      </w:r>
    </w:p>
    <w:p w:rsidR="00000000" w:rsidDel="00000000" w:rsidP="00000000" w:rsidRDefault="00000000" w:rsidRPr="00000000" w14:paraId="000001FA">
      <w:pPr>
        <w:ind w:left="720" w:firstLine="0"/>
        <w:rPr/>
      </w:pPr>
      <w:r w:rsidDel="00000000" w:rsidR="00000000" w:rsidRPr="00000000">
        <w:rPr>
          <w:rtl w:val="0"/>
        </w:rPr>
      </w:r>
    </w:p>
    <w:p w:rsidR="00000000" w:rsidDel="00000000" w:rsidP="00000000" w:rsidRDefault="00000000" w:rsidRPr="00000000" w14:paraId="000001FB">
      <w:pPr>
        <w:numPr>
          <w:ilvl w:val="0"/>
          <w:numId w:val="11"/>
        </w:numPr>
        <w:ind w:left="720" w:hanging="360"/>
        <w:rPr>
          <w:u w:val="none"/>
        </w:rPr>
      </w:pPr>
      <w:r w:rsidDel="00000000" w:rsidR="00000000" w:rsidRPr="00000000">
        <w:rPr>
          <w:rtl w:val="0"/>
        </w:rPr>
        <w:t xml:space="preserve">La obligación de negarse a aceptar obsequios (en su totalidad o por encima de cierto valor) de los lobistas, o de declarar los obsequios y beneficios recibidos, entre otros </w:t>
      </w:r>
      <w:r w:rsidDel="00000000" w:rsidR="00000000" w:rsidRPr="00000000">
        <w:rPr>
          <w:highlight w:val="green"/>
          <w:rtl w:val="0"/>
        </w:rPr>
        <w:t xml:space="preserve">(tratados en el Capítulo 2)</w:t>
      </w:r>
      <w:r w:rsidDel="00000000" w:rsidR="00000000" w:rsidRPr="00000000">
        <w:rPr>
          <w:rtl w:val="0"/>
        </w:rPr>
        <w:t xml:space="preserve">.</w:t>
      </w:r>
    </w:p>
    <w:p w:rsidR="00000000" w:rsidDel="00000000" w:rsidP="00000000" w:rsidRDefault="00000000" w:rsidRPr="00000000" w14:paraId="000001FC">
      <w:pPr>
        <w:ind w:left="720" w:firstLine="0"/>
        <w:rPr/>
      </w:pPr>
      <w:r w:rsidDel="00000000" w:rsidR="00000000" w:rsidRPr="00000000">
        <w:rPr>
          <w:rtl w:val="0"/>
        </w:rPr>
      </w:r>
    </w:p>
    <w:p w:rsidR="00000000" w:rsidDel="00000000" w:rsidP="00000000" w:rsidRDefault="00000000" w:rsidRPr="00000000" w14:paraId="000001FD">
      <w:pPr>
        <w:numPr>
          <w:ilvl w:val="0"/>
          <w:numId w:val="11"/>
        </w:numPr>
        <w:ind w:left="720" w:hanging="360"/>
        <w:rPr>
          <w:u w:val="none"/>
        </w:rPr>
      </w:pPr>
      <w:r w:rsidDel="00000000" w:rsidR="00000000" w:rsidRPr="00000000">
        <w:rPr>
          <w:rtl w:val="0"/>
        </w:rPr>
        <w:t xml:space="preserve">El deber de cumplir con las normas y restricciones específicas posteriores al empleo tras dejar el cargo (t</w:t>
      </w:r>
      <w:r w:rsidDel="00000000" w:rsidR="00000000" w:rsidRPr="00000000">
        <w:rPr>
          <w:highlight w:val="green"/>
          <w:rtl w:val="0"/>
        </w:rPr>
        <w:t xml:space="preserve">ambién abordado en el Capítulo 2</w:t>
      </w:r>
      <w:r w:rsidDel="00000000" w:rsidR="00000000" w:rsidRPr="00000000">
        <w:rPr>
          <w:rtl w:val="0"/>
        </w:rPr>
        <w:t xml:space="preserve">).</w:t>
      </w:r>
    </w:p>
    <w:p w:rsidR="00000000" w:rsidDel="00000000" w:rsidP="00000000" w:rsidRDefault="00000000" w:rsidRPr="00000000" w14:paraId="000001FE">
      <w:pPr>
        <w:ind w:left="720" w:firstLine="0"/>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75. Por lo tanto, de establecerse un marco regulatorio para el cabildeo en la República Dominicana, este podría incluir normas específicas para los funcionarios públicos en sus interacciones con cabilderos. La Tabla 8.5 ofrece varios ejemplos. Las normas existentes, como los códigos de conducta (</w:t>
      </w:r>
      <w:r w:rsidDel="00000000" w:rsidR="00000000" w:rsidRPr="00000000">
        <w:rPr>
          <w:highlight w:val="green"/>
          <w:rtl w:val="0"/>
        </w:rPr>
        <w:t xml:space="preserve">tratados en el Capítulo 2)</w:t>
      </w:r>
      <w:r w:rsidDel="00000000" w:rsidR="00000000" w:rsidRPr="00000000">
        <w:rPr>
          <w:rtl w:val="0"/>
        </w:rPr>
        <w:t xml:space="preserve">, también podrían actualizarse para considerar específicamente los riesgos relacionados con el cabildeo.</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b w:val="1"/>
          <w:bCs w:val="1"/>
          <w:color w:val="3c78d8"/>
          <w:sz w:val="18"/>
          <w:szCs w:val="18"/>
        </w:rPr>
      </w:pPr>
      <w:r w:rsidDel="00000000" w:rsidR="00000000" w:rsidRPr="00000000">
        <w:rPr>
          <w:b w:val="1"/>
          <w:bCs w:val="1"/>
          <w:color w:val="3c78d8"/>
          <w:rtl w:val="0"/>
        </w:rPr>
        <w:t xml:space="preserve">Tabla 8.5. Ejemplos de normas específicas para funcionarios públicos en sus interacciones con cabilderos</w:t>
      </w:r>
      <w:r w:rsidDel="00000000" w:rsidR="00000000" w:rsidRPr="00000000">
        <w:rPr>
          <w:rtl w:val="0"/>
        </w:rPr>
      </w:r>
    </w:p>
    <w:p w:rsidR="00000000" w:rsidDel="00000000" w:rsidP="00000000" w:rsidRDefault="00000000" w:rsidRPr="00000000" w14:paraId="00000202">
      <w:pPr>
        <w:ind w:left="0" w:firstLine="0"/>
        <w:rPr/>
      </w:pPr>
      <w:r w:rsidDel="00000000" w:rsidR="00000000" w:rsidRPr="00000000">
        <w:rPr>
          <w:rtl w:val="0"/>
        </w:rPr>
      </w:r>
    </w:p>
    <w:p w:rsidR="00000000" w:rsidDel="00000000" w:rsidP="00000000" w:rsidRDefault="00000000" w:rsidRPr="00000000" w14:paraId="00000203">
      <w:pPr>
        <w:ind w:left="0" w:firstLine="0"/>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2325"/>
        <w:gridCol w:w="5685"/>
        <w:tblGridChange w:id="0">
          <w:tblGrid>
            <w:gridCol w:w="1350"/>
            <w:gridCol w:w="2325"/>
            <w:gridCol w:w="56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Marco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Estándares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pPr>
            <w:r w:rsidDel="00000000" w:rsidR="00000000" w:rsidRPr="00000000">
              <w:rPr>
                <w:rtl w:val="0"/>
              </w:rPr>
              <w:t xml:space="preserve">Gobierno Australiano</w:t>
            </w:r>
          </w:p>
          <w:p w:rsidR="00000000" w:rsidDel="00000000" w:rsidP="00000000" w:rsidRDefault="00000000" w:rsidRPr="00000000" w14:paraId="00000209">
            <w:pPr>
              <w:widowControl w:val="0"/>
              <w:spacing w:line="240" w:lineRule="auto"/>
              <w:rPr/>
            </w:pPr>
            <w:r w:rsidDel="00000000" w:rsidR="00000000" w:rsidRPr="00000000">
              <w:rPr>
                <w:rtl w:val="0"/>
              </w:rPr>
              <w:t xml:space="preserve">Código de Conducta para el Lobby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numPr>
                <w:ilvl w:val="0"/>
                <w:numId w:val="3"/>
              </w:numPr>
              <w:spacing w:line="240" w:lineRule="auto"/>
              <w:ind w:left="720" w:hanging="360"/>
              <w:rPr>
                <w:u w:val="none"/>
              </w:rPr>
            </w:pPr>
            <w:r w:rsidDel="00000000" w:rsidR="00000000" w:rsidRPr="00000000">
              <w:rPr>
                <w:rtl w:val="0"/>
              </w:rPr>
              <w:t xml:space="preserve">Ningún representante del Gobierno podrá, a sabiendas e intencionalmente, participar en actividades de lobby de un lobista o de un empleado de un lobista que no esté inscrito en el Registro de Lobistas, o que no les haya informado de su condición de lobistas (si están inscritos, el nombre de sus clientes y la naturaleza de los asuntos que desean plantear).</w:t>
            </w:r>
          </w:p>
          <w:p w:rsidR="00000000" w:rsidDel="00000000" w:rsidP="00000000" w:rsidRDefault="00000000" w:rsidRPr="00000000" w14:paraId="0000020B">
            <w:pPr>
              <w:widowControl w:val="0"/>
              <w:numPr>
                <w:ilvl w:val="0"/>
                <w:numId w:val="3"/>
              </w:numPr>
              <w:spacing w:line="240" w:lineRule="auto"/>
              <w:ind w:left="720" w:hanging="360"/>
              <w:rPr>
                <w:u w:val="none"/>
              </w:rPr>
            </w:pPr>
            <w:r w:rsidDel="00000000" w:rsidR="00000000" w:rsidRPr="00000000">
              <w:rPr>
                <w:rtl w:val="0"/>
              </w:rPr>
              <w:t xml:space="preserve">Todo representante del Gobierno debe informar de cualquier incumplimiento del Código al Secretario del Ministerio Público.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Chile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Ley que regula el lobby y la representación de intereses privados ante autoridades y funcionarios públicos.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Los funcionarios y administraciones públicas que sean objeto de lobby tienen la obligación de registrar las audiencias y reuniones con lobistas, así como las donaciones y los viajes realizados en el ejercicio de sus funciones. </w:t>
            </w:r>
          </w:p>
          <w:p w:rsidR="00000000" w:rsidDel="00000000" w:rsidP="00000000" w:rsidRDefault="00000000" w:rsidRPr="00000000" w14:paraId="0000020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Las administraciones públicas tienen la obligación de mantener un registro público de lobistas y representantes de intereses. Deben garantizar la igualdad de acceso de las personas y organizaciones al proceso de toma de decisiones. </w:t>
            </w:r>
          </w:p>
          <w:p w:rsidR="00000000" w:rsidDel="00000000" w:rsidP="00000000" w:rsidRDefault="00000000" w:rsidRPr="00000000" w14:paraId="0000021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Las administraciones públicas no están obligadas a responder positivamente a todas las solicitudes de reuniones o audiencias; sin embargo, si lo hacen con respecto a un asunto específico, deben aceptar las solicitudes de reuniones o audiencias de todos los que las soliciten sobre dicho asunto.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Letonia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pPr>
            <w:r w:rsidDel="00000000" w:rsidR="00000000" w:rsidRPr="00000000">
              <w:rPr>
                <w:rtl w:val="0"/>
              </w:rPr>
              <w:t xml:space="preserve">Reglamento del Gabinete n.º 1</w:t>
            </w:r>
          </w:p>
          <w:p w:rsidR="00000000" w:rsidDel="00000000" w:rsidP="00000000" w:rsidRDefault="00000000" w:rsidRPr="00000000" w14:paraId="00000213">
            <w:pPr>
              <w:widowControl w:val="0"/>
              <w:spacing w:line="240" w:lineRule="auto"/>
              <w:rPr/>
            </w:pPr>
            <w:r w:rsidDel="00000000" w:rsidR="00000000" w:rsidRPr="00000000">
              <w:rPr>
                <w:rtl w:val="0"/>
              </w:rPr>
              <w:t xml:space="preserve">Valores de la Administración Estatal</w:t>
            </w:r>
          </w:p>
          <w:p w:rsidR="00000000" w:rsidDel="00000000" w:rsidP="00000000" w:rsidRDefault="00000000" w:rsidRPr="00000000" w14:paraId="00000214">
            <w:pPr>
              <w:widowControl w:val="0"/>
              <w:spacing w:line="240" w:lineRule="auto"/>
              <w:rPr/>
            </w:pPr>
            <w:r w:rsidDel="00000000" w:rsidR="00000000" w:rsidRPr="00000000">
              <w:rPr>
                <w:rtl w:val="0"/>
              </w:rPr>
              <w:t xml:space="preserve">y Principios Fundamentales de Ética</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numPr>
                <w:ilvl w:val="0"/>
                <w:numId w:val="9"/>
              </w:numPr>
              <w:spacing w:line="240" w:lineRule="auto"/>
              <w:ind w:left="720" w:hanging="360"/>
              <w:rPr>
                <w:u w:val="none"/>
              </w:rPr>
            </w:pPr>
            <w:r w:rsidDel="00000000" w:rsidR="00000000" w:rsidRPr="00000000">
              <w:rPr>
                <w:rtl w:val="0"/>
              </w:rPr>
              <w:t xml:space="preserve">Al comunicarse con lobistas, los empleados públicos deberán observar los principios de transparencia, igualdad e integridad. Deben garantizar que todos los lobistas interesados ​​tengan las mismas oportunidades de recibir información y comunicarse con la institución pública y sus empleados.</w:t>
            </w:r>
          </w:p>
          <w:p w:rsidR="00000000" w:rsidDel="00000000" w:rsidP="00000000" w:rsidRDefault="00000000" w:rsidRPr="00000000" w14:paraId="00000217">
            <w:pPr>
              <w:widowControl w:val="0"/>
              <w:numPr>
                <w:ilvl w:val="0"/>
                <w:numId w:val="9"/>
              </w:numPr>
              <w:spacing w:line="240" w:lineRule="auto"/>
              <w:ind w:left="720" w:hanging="360"/>
              <w:rPr>
                <w:u w:val="none"/>
              </w:rPr>
            </w:pPr>
            <w:r w:rsidDel="00000000" w:rsidR="00000000" w:rsidRPr="00000000">
              <w:rPr>
                <w:rtl w:val="0"/>
              </w:rPr>
              <w:t xml:space="preserve">Los empleados públicos deben informar a su superior directo o al director de su institución sobre sus reuniones con lobistas y divulgar la información sobre las mismas, incluida la información recibida de ellos.</w:t>
            </w:r>
          </w:p>
          <w:p w:rsidR="00000000" w:rsidDel="00000000" w:rsidP="00000000" w:rsidRDefault="00000000" w:rsidRPr="00000000" w14:paraId="00000218">
            <w:pPr>
              <w:widowControl w:val="0"/>
              <w:numPr>
                <w:ilvl w:val="0"/>
                <w:numId w:val="9"/>
              </w:numPr>
              <w:spacing w:line="240" w:lineRule="auto"/>
              <w:ind w:left="720" w:hanging="360"/>
              <w:rPr>
                <w:u w:val="none"/>
              </w:rPr>
            </w:pPr>
            <w:r w:rsidDel="00000000" w:rsidR="00000000" w:rsidRPr="00000000">
              <w:rPr>
                <w:rtl w:val="0"/>
              </w:rPr>
              <w:t xml:space="preserve">Si la propuesta expresada por el lobista se considera al redactar o tomar una decisión, esto se indicará en el documento relacionado con dicha decisión (por ejemplo, en el resumen, la declaración o la carta de presentación) y, siempre que sea posible, se hará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b w:val="1"/>
                <w:bCs w:val="1"/>
              </w:rPr>
            </w:pPr>
            <w:r w:rsidDel="00000000" w:rsidR="00000000" w:rsidRPr="00000000">
              <w:rPr>
                <w:b w:val="1"/>
                <w:bCs w:val="1"/>
                <w:rtl w:val="0"/>
              </w:rPr>
              <w:t xml:space="preserve">Lituania</w:t>
            </w:r>
          </w:p>
          <w:p w:rsidR="00000000" w:rsidDel="00000000" w:rsidP="00000000" w:rsidRDefault="00000000" w:rsidRPr="00000000" w14:paraId="0000021A">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pPr>
            <w:r w:rsidDel="00000000" w:rsidR="00000000" w:rsidRPr="00000000">
              <w:rPr>
                <w:rtl w:val="0"/>
              </w:rPr>
              <w:t xml:space="preserve">Ley sobre Actividades de Cabildeo</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numPr>
                <w:ilvl w:val="0"/>
                <w:numId w:val="5"/>
              </w:numPr>
              <w:spacing w:line="240" w:lineRule="auto"/>
              <w:ind w:left="720" w:hanging="360"/>
              <w:rPr>
                <w:u w:val="none"/>
              </w:rPr>
            </w:pPr>
            <w:r w:rsidDel="00000000" w:rsidR="00000000" w:rsidRPr="00000000">
              <w:rPr>
                <w:rtl w:val="0"/>
              </w:rPr>
              <w:t xml:space="preserve">Los organismos estatales y municipales, así como los funcionarios públicos objeto de cabildeo, deben crear las condiciones para que los cabilderos ejerzan sus derechos especificados en la ley al registrarse, realicen actividades lícitas y promuevan los intereses de sus clientes y beneficiarios, así como las condiciones para que la Comisión de Ética de los Funcionarios Principales lleve a cabo sus funciones de supervisión.</w:t>
            </w:r>
          </w:p>
          <w:p w:rsidR="00000000" w:rsidDel="00000000" w:rsidP="00000000" w:rsidRDefault="00000000" w:rsidRPr="00000000" w14:paraId="0000021E">
            <w:pPr>
              <w:widowControl w:val="0"/>
              <w:numPr>
                <w:ilvl w:val="0"/>
                <w:numId w:val="5"/>
              </w:numPr>
              <w:spacing w:line="240" w:lineRule="auto"/>
              <w:ind w:left="720" w:hanging="360"/>
              <w:rPr>
                <w:u w:val="none"/>
              </w:rPr>
            </w:pPr>
            <w:r w:rsidDel="00000000" w:rsidR="00000000" w:rsidRPr="00000000">
              <w:rPr>
                <w:rtl w:val="0"/>
              </w:rPr>
              <w:t xml:space="preserve">Las personas objeto de cabildeo tienen prohibido aceptar regalos o cualquier otra remuneración de los cabilderos.</w:t>
            </w:r>
          </w:p>
          <w:p w:rsidR="00000000" w:rsidDel="00000000" w:rsidP="00000000" w:rsidRDefault="00000000" w:rsidRPr="00000000" w14:paraId="0000021F">
            <w:pPr>
              <w:widowControl w:val="0"/>
              <w:numPr>
                <w:ilvl w:val="0"/>
                <w:numId w:val="5"/>
              </w:numPr>
              <w:spacing w:line="240" w:lineRule="auto"/>
              <w:ind w:left="720" w:hanging="360"/>
              <w:rPr>
                <w:u w:val="none"/>
              </w:rPr>
            </w:pPr>
            <w:r w:rsidDel="00000000" w:rsidR="00000000" w:rsidRPr="00000000">
              <w:rPr>
                <w:rtl w:val="0"/>
              </w:rPr>
              <w:t xml:space="preserve">Ciertas categorías de funcionarios públicos de alto nivel (incluido el Presidente de la República, miembros del Gobierno, parlamentarios, alcaldes y miembros de los consejos municipales) deben publicar sus agendas (en los sitios web de las entidades jurídicas en las que desempeñan sus cargos) y declarar las actividades de cabildeo dirigidas a ellos para cada proyecto de ley, a más tardar siete días después del inicio de las actividades de cabildeo para el proyecto de ley específico.  </w:t>
            </w:r>
          </w:p>
          <w:p w:rsidR="00000000" w:rsidDel="00000000" w:rsidP="00000000" w:rsidRDefault="00000000" w:rsidRPr="00000000" w14:paraId="00000220">
            <w:pPr>
              <w:widowControl w:val="0"/>
              <w:numPr>
                <w:ilvl w:val="0"/>
                <w:numId w:val="5"/>
              </w:numPr>
              <w:spacing w:line="240" w:lineRule="auto"/>
              <w:ind w:left="720" w:hanging="360"/>
              <w:rPr>
                <w:u w:val="none"/>
              </w:rPr>
            </w:pPr>
            <w:r w:rsidDel="00000000" w:rsidR="00000000" w:rsidRPr="00000000">
              <w:rPr>
                <w:rtl w:val="0"/>
              </w:rPr>
              <w:t xml:space="preserve">Los funcionarios públicos que participen en la preparación, consideración y adopción de proyectos de ley deben declarar las actividades de cabildeo que se les dirijan para cada proyecto de ley a sus superiores o representantes autorizados de la institución pública que los emplee, a más tardar siete días después del inicio de las actividades de cabildeo para el proyecto de ley específico.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bCs w:val="1"/>
              </w:rPr>
            </w:pPr>
            <w:r w:rsidDel="00000000" w:rsidR="00000000" w:rsidRPr="00000000">
              <w:rPr>
                <w:b w:val="1"/>
                <w:bCs w:val="1"/>
                <w:rtl w:val="0"/>
              </w:rPr>
              <w:t xml:space="preserve">Eslovenia</w:t>
            </w:r>
          </w:p>
          <w:p w:rsidR="00000000" w:rsidDel="00000000" w:rsidP="00000000" w:rsidRDefault="00000000" w:rsidRPr="00000000" w14:paraId="00000222">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pPr>
            <w:r w:rsidDel="00000000" w:rsidR="00000000" w:rsidRPr="00000000">
              <w:rPr>
                <w:rtl w:val="0"/>
              </w:rPr>
              <w:t xml:space="preserve">Ley de Integridad y Prevención de la Corrupción</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numPr>
                <w:ilvl w:val="0"/>
                <w:numId w:val="14"/>
              </w:numPr>
              <w:spacing w:line="240" w:lineRule="auto"/>
              <w:ind w:left="720" w:hanging="360"/>
              <w:rPr>
                <w:u w:val="none"/>
              </w:rPr>
            </w:pPr>
            <w:r w:rsidDel="00000000" w:rsidR="00000000" w:rsidRPr="00000000">
              <w:rPr>
                <w:rtl w:val="0"/>
              </w:rPr>
              <w:t xml:space="preserve">Los funcionarios públicos solo podrán acceder a contactar con un cabildero tras verificar que esté inscrito en el Registro. Si durante el contacto con un cabildero surge un conflicto de intereses por parte de la persona cabildeada, deben rechazar cualquier contacto con él.</w:t>
            </w:r>
          </w:p>
          <w:p w:rsidR="00000000" w:rsidDel="00000000" w:rsidP="00000000" w:rsidRDefault="00000000" w:rsidRPr="00000000" w14:paraId="00000226">
            <w:pPr>
              <w:widowControl w:val="0"/>
              <w:numPr>
                <w:ilvl w:val="0"/>
                <w:numId w:val="14"/>
              </w:numPr>
              <w:spacing w:line="240" w:lineRule="auto"/>
              <w:ind w:left="720" w:hanging="360"/>
              <w:rPr>
                <w:u w:val="none"/>
              </w:rPr>
            </w:pPr>
            <w:r w:rsidDel="00000000" w:rsidR="00000000" w:rsidRPr="00000000">
              <w:rPr>
                <w:rtl w:val="0"/>
              </w:rPr>
              <w:t xml:space="preserve">Deben registrar, en un plazo de tres días, cada reunión con un cabildero a su superior y a la Comisión para la Prevención de la Corrupción.</w:t>
            </w:r>
          </w:p>
          <w:p w:rsidR="00000000" w:rsidDel="00000000" w:rsidP="00000000" w:rsidRDefault="00000000" w:rsidRPr="00000000" w14:paraId="00000227">
            <w:pPr>
              <w:widowControl w:val="0"/>
              <w:numPr>
                <w:ilvl w:val="0"/>
                <w:numId w:val="14"/>
              </w:numPr>
              <w:spacing w:line="240" w:lineRule="auto"/>
              <w:ind w:left="720" w:hanging="360"/>
              <w:rPr>
                <w:u w:val="none"/>
              </w:rPr>
            </w:pPr>
            <w:r w:rsidDel="00000000" w:rsidR="00000000" w:rsidRPr="00000000">
              <w:rPr>
                <w:rtl w:val="0"/>
              </w:rPr>
              <w:t xml:space="preserve">Deben informar, en un plazo de diez días, a la Comisión para la Prevención de la Corrupción sobre cualquier intento de cabildeo por parte de cabilderos no registrados.</w:t>
            </w:r>
          </w:p>
        </w:tc>
      </w:tr>
    </w:tbl>
    <w:p w:rsidR="00000000" w:rsidDel="00000000" w:rsidP="00000000" w:rsidRDefault="00000000" w:rsidRPr="00000000" w14:paraId="00000228">
      <w:pPr>
        <w:ind w:left="0" w:firstLine="0"/>
        <w:rPr>
          <w:sz w:val="18"/>
          <w:szCs w:val="18"/>
        </w:rPr>
      </w:pPr>
      <w:r w:rsidDel="00000000" w:rsidR="00000000" w:rsidRPr="00000000">
        <w:rPr>
          <w:sz w:val="18"/>
          <w:szCs w:val="18"/>
          <w:rtl w:val="0"/>
        </w:rPr>
        <w:t xml:space="preserve">Fuente: (OCDE, 2021 )</w:t>
      </w:r>
    </w:p>
    <w:p w:rsidR="00000000" w:rsidDel="00000000" w:rsidP="00000000" w:rsidRDefault="00000000" w:rsidRPr="00000000" w14:paraId="00000229">
      <w:pPr>
        <w:ind w:left="0" w:firstLine="0"/>
        <w:rPr>
          <w:sz w:val="18"/>
          <w:szCs w:val="18"/>
        </w:rPr>
      </w:pPr>
      <w:r w:rsidDel="00000000" w:rsidR="00000000" w:rsidRPr="00000000">
        <w:rPr>
          <w:rtl w:val="0"/>
        </w:rPr>
      </w:r>
    </w:p>
    <w:p w:rsidR="00000000" w:rsidDel="00000000" w:rsidP="00000000" w:rsidRDefault="00000000" w:rsidRPr="00000000" w14:paraId="0000022A">
      <w:pPr>
        <w:ind w:left="0" w:firstLine="0"/>
        <w:rPr/>
      </w:pPr>
      <w:r w:rsidDel="00000000" w:rsidR="00000000" w:rsidRPr="00000000">
        <w:rPr>
          <w:rtl w:val="0"/>
        </w:rPr>
        <w:t xml:space="preserve">76. Además de las restricciones posteriores al empleo descritas en el </w:t>
      </w:r>
      <w:r w:rsidDel="00000000" w:rsidR="00000000" w:rsidRPr="00000000">
        <w:rPr>
          <w:highlight w:val="green"/>
          <w:rtl w:val="0"/>
        </w:rPr>
        <w:t xml:space="preserve">Capítulo 2</w:t>
      </w:r>
      <w:r w:rsidDel="00000000" w:rsidR="00000000" w:rsidRPr="00000000">
        <w:rPr>
          <w:rtl w:val="0"/>
        </w:rPr>
        <w:t xml:space="preserve">, algunos países con marcos regulatorios para el cabildeo han introducido períodos de incompatibilidad que se aplican específicamente a este tipo de actividades (Recuadro 8.6). Durante un período definido después de dejar un cargo público, los funcionarios públicos tienen prohibido participar en actividades de cabildeo, según lo establecido en la legislación pertinente. Además de las recomendaciones ya formuladas en el </w:t>
      </w:r>
      <w:r w:rsidDel="00000000" w:rsidR="00000000" w:rsidRPr="00000000">
        <w:rPr>
          <w:highlight w:val="green"/>
          <w:rtl w:val="0"/>
        </w:rPr>
        <w:t xml:space="preserve">Capítulo 2</w:t>
      </w:r>
      <w:r w:rsidDel="00000000" w:rsidR="00000000" w:rsidRPr="00000000">
        <w:rPr>
          <w:rtl w:val="0"/>
        </w:rPr>
        <w:t xml:space="preserve"> sobre los períodos generales de incompatibilidad, la República Dominicana también podría considerar la introducción de períodos específicos de incompatibilidad para las actividades de cabildeo.</w:t>
      </w:r>
    </w:p>
    <w:p w:rsidR="00000000" w:rsidDel="00000000" w:rsidP="00000000" w:rsidRDefault="00000000" w:rsidRPr="00000000" w14:paraId="0000022B">
      <w:pPr>
        <w:ind w:left="0" w:firstLine="0"/>
        <w:rPr/>
      </w:pPr>
      <w:r w:rsidDel="00000000" w:rsidR="00000000" w:rsidRPr="00000000">
        <w:rPr>
          <w:rtl w:val="0"/>
        </w:rPr>
      </w:r>
    </w:p>
    <w:p w:rsidR="00000000" w:rsidDel="00000000" w:rsidP="00000000" w:rsidRDefault="00000000" w:rsidRPr="00000000" w14:paraId="0000022C">
      <w:pPr>
        <w:ind w:left="0" w:firstLine="0"/>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pPr>
            <w:r w:rsidDel="00000000" w:rsidR="00000000" w:rsidRPr="00000000">
              <w:rPr>
                <w:b w:val="1"/>
                <w:bCs w:val="1"/>
                <w:color w:val="3c78d8"/>
                <w:rtl w:val="0"/>
              </w:rPr>
              <w:t xml:space="preserve">Recuadro 8.6. Ejemplos de disposiciones sobre periodos de incompatibilidad para cargos electos y designados en puestos de riesgo en países de la OCDE.</w:t>
            </w:r>
            <w:r w:rsidDel="00000000" w:rsidR="00000000" w:rsidRPr="00000000">
              <w:rPr>
                <w:rtl w:val="0"/>
              </w:rPr>
            </w:r>
          </w:p>
          <w:p w:rsidR="00000000" w:rsidDel="00000000" w:rsidP="00000000" w:rsidRDefault="00000000" w:rsidRPr="00000000" w14:paraId="0000022E">
            <w:pPr>
              <w:widowControl w:val="0"/>
              <w:spacing w:line="240" w:lineRule="auto"/>
              <w:rPr/>
            </w:pPr>
            <w:r w:rsidDel="00000000" w:rsidR="00000000" w:rsidRPr="00000000">
              <w:rPr>
                <w:rtl w:val="0"/>
              </w:rPr>
            </w:r>
          </w:p>
          <w:p w:rsidR="00000000" w:rsidDel="00000000" w:rsidP="00000000" w:rsidRDefault="00000000" w:rsidRPr="00000000" w14:paraId="0000022F">
            <w:pPr>
              <w:widowControl w:val="0"/>
              <w:spacing w:line="240" w:lineRule="auto"/>
              <w:rPr/>
            </w:pPr>
            <w:r w:rsidDel="00000000" w:rsidR="00000000" w:rsidRPr="00000000">
              <w:rPr>
                <w:rtl w:val="0"/>
              </w:rPr>
              <w:t xml:space="preserve">En los</w:t>
            </w:r>
            <w:r w:rsidDel="00000000" w:rsidR="00000000" w:rsidRPr="00000000">
              <w:rPr>
                <w:b w:val="1"/>
                <w:bCs w:val="1"/>
                <w:rtl w:val="0"/>
              </w:rPr>
              <w:t xml:space="preserve"> Países Bajos,</w:t>
            </w:r>
            <w:r w:rsidDel="00000000" w:rsidR="00000000" w:rsidRPr="00000000">
              <w:rPr>
                <w:rtl w:val="0"/>
              </w:rPr>
              <w:t xml:space="preserve"> una circular adoptada en octubre de 2020, «Prohibición de ejercer presión sobre antiguos ministerios», prohíbe a los ministros y a cualquier funcionario empleado en ministerios ejercer como cabilderos, mediadores o intermediarios en contactos comerciales con un ministerio que represente un área política en la que anteriormente tuvieran responsabilidades públicas. La duración de la prohibición de ejercer presión es de dos años. El objetivo de la prohibición es evitar que los ministros jubilados o dimitidos utilicen su cargo, así como los conocimientos y la red de contactos que adquirieron en la función pública, en beneficio de una organización que los emplea tras su dimisión. El secretario general del ministerio correspondiente tiene la opción de conceder una solicitud razonada a los antiguos ministros que soliciten una excepción a la prohibición de ejercer presión. </w:t>
            </w:r>
          </w:p>
          <w:p w:rsidR="00000000" w:rsidDel="00000000" w:rsidP="00000000" w:rsidRDefault="00000000" w:rsidRPr="00000000" w14:paraId="00000230">
            <w:pPr>
              <w:widowControl w:val="0"/>
              <w:spacing w:line="240" w:lineRule="auto"/>
              <w:rPr/>
            </w:pPr>
            <w:r w:rsidDel="00000000" w:rsidR="00000000" w:rsidRPr="00000000">
              <w:rPr>
                <w:rtl w:val="0"/>
              </w:rPr>
            </w:r>
          </w:p>
          <w:p w:rsidR="00000000" w:rsidDel="00000000" w:rsidP="00000000" w:rsidRDefault="00000000" w:rsidRPr="00000000" w14:paraId="00000231">
            <w:pPr>
              <w:widowControl w:val="0"/>
              <w:spacing w:line="240" w:lineRule="auto"/>
              <w:rPr/>
            </w:pPr>
            <w:r w:rsidDel="00000000" w:rsidR="00000000" w:rsidRPr="00000000">
              <w:rPr>
                <w:rtl w:val="0"/>
              </w:rPr>
              <w:t xml:space="preserve">En </w:t>
            </w:r>
            <w:r w:rsidDel="00000000" w:rsidR="00000000" w:rsidRPr="00000000">
              <w:rPr>
                <w:b w:val="1"/>
                <w:bCs w:val="1"/>
                <w:rtl w:val="0"/>
              </w:rPr>
              <w:t xml:space="preserve">Australia,</w:t>
            </w:r>
            <w:r w:rsidDel="00000000" w:rsidR="00000000" w:rsidRPr="00000000">
              <w:rPr>
                <w:rtl w:val="0"/>
              </w:rPr>
              <w:t xml:space="preserve"> los Ministros y Secretarios Parlamentarios no pueden, durante un período de 18 meses después de su cese en el cargo, participar en actividades de cabildeo relacionadas con ningún asunto con el que hayan tratado oficialmente durante sus últimos 18 meses en el cargo. Además, las personas empleadas en las Oficinas de Ministros o Secretarios Parlamentarios con rango de Asesor o superior, los miembros de las Fuerzas de Defensa Australianas con rango de Coronel o superior (o equivalente), y los Jefes de Agencia o personas empleadas en el Servicio Ejecutivo Superior (o equivalente), no podrán, durante un período de 12 meses después de su cese en el cargo, participar en actividades de cabildeo relacionadas con ningún asunto con el que hayan tratado oficialmente durante sus últimos 12 meses de empleo.</w:t>
            </w:r>
          </w:p>
          <w:p w:rsidR="00000000" w:rsidDel="00000000" w:rsidP="00000000" w:rsidRDefault="00000000" w:rsidRPr="00000000" w14:paraId="00000232">
            <w:pPr>
              <w:widowControl w:val="0"/>
              <w:spacing w:line="240" w:lineRule="auto"/>
              <w:rPr/>
            </w:pPr>
            <w:r w:rsidDel="00000000" w:rsidR="00000000" w:rsidRPr="00000000">
              <w:rPr>
                <w:rtl w:val="0"/>
              </w:rPr>
            </w:r>
          </w:p>
          <w:p w:rsidR="00000000" w:rsidDel="00000000" w:rsidP="00000000" w:rsidRDefault="00000000" w:rsidRPr="00000000" w14:paraId="00000233">
            <w:pPr>
              <w:widowControl w:val="0"/>
              <w:spacing w:line="240" w:lineRule="auto"/>
              <w:rPr/>
            </w:pPr>
            <w:r w:rsidDel="00000000" w:rsidR="00000000" w:rsidRPr="00000000">
              <w:rPr>
                <w:rtl w:val="0"/>
              </w:rPr>
              <w:t xml:space="preserve">En </w:t>
            </w:r>
            <w:r w:rsidDel="00000000" w:rsidR="00000000" w:rsidRPr="00000000">
              <w:rPr>
                <w:b w:val="1"/>
                <w:bCs w:val="1"/>
                <w:rtl w:val="0"/>
              </w:rPr>
              <w:t xml:space="preserve">Canadá</w:t>
            </w:r>
            <w:r w:rsidDel="00000000" w:rsidR="00000000" w:rsidRPr="00000000">
              <w:rPr>
                <w:rtl w:val="0"/>
              </w:rPr>
              <w:t xml:space="preserve">, durante el período de cinco años después de su cese en el cargo, los antiguos funcionarios públicos designados tienen prohibido participar en actividades de cabildeo de consultoría. Del mismo modo, a los exfuncionarios públicos designados que trabajan para una organización también se les prohíbe participar en actividades de cabildeo internas durante este mismo período de cinco años.</w:t>
            </w:r>
          </w:p>
          <w:p w:rsidR="00000000" w:rsidDel="00000000" w:rsidP="00000000" w:rsidRDefault="00000000" w:rsidRPr="00000000" w14:paraId="00000234">
            <w:pPr>
              <w:widowControl w:val="0"/>
              <w:spacing w:line="240" w:lineRule="auto"/>
              <w:rPr/>
            </w:pPr>
            <w:r w:rsidDel="00000000" w:rsidR="00000000" w:rsidRPr="00000000">
              <w:rPr>
                <w:rtl w:val="0"/>
              </w:rPr>
            </w:r>
          </w:p>
          <w:p w:rsidR="00000000" w:rsidDel="00000000" w:rsidP="00000000" w:rsidRDefault="00000000" w:rsidRPr="00000000" w14:paraId="00000235">
            <w:pPr>
              <w:widowControl w:val="0"/>
              <w:spacing w:line="240" w:lineRule="auto"/>
              <w:rPr/>
            </w:pPr>
            <w:r w:rsidDel="00000000" w:rsidR="00000000" w:rsidRPr="00000000">
              <w:rPr>
                <w:rtl w:val="0"/>
              </w:rPr>
              <w:t xml:space="preserve">La Ley de Regulación del Lobby de </w:t>
            </w:r>
            <w:r w:rsidDel="00000000" w:rsidR="00000000" w:rsidRPr="00000000">
              <w:rPr>
                <w:b w:val="1"/>
                <w:bCs w:val="1"/>
                <w:rtl w:val="0"/>
              </w:rPr>
              <w:t xml:space="preserve">Irlanda</w:t>
            </w:r>
            <w:r w:rsidDel="00000000" w:rsidR="00000000" w:rsidRPr="00000000">
              <w:rPr>
                <w:rtl w:val="0"/>
              </w:rPr>
              <w:t xml:space="preserve"> establece que ciertos funcionarios públicos designados (OPD) tienen prohibido participar en actividades de cabildeo en determinadas circunstancias durante un año después de dejar su empleo o cargo, a menos que obtengan autorización de la Comisión de Normas; de hecho, están sujetos a un período de incompatibilidad. Los OPD afectados son ministros y ministros de Estado, asesores especiales y funcionarios públicos designados.</w:t>
            </w:r>
          </w:p>
          <w:p w:rsidR="00000000" w:rsidDel="00000000" w:rsidP="00000000" w:rsidRDefault="00000000" w:rsidRPr="00000000" w14:paraId="00000236">
            <w:pPr>
              <w:widowControl w:val="0"/>
              <w:spacing w:line="240" w:lineRule="auto"/>
              <w:rPr/>
            </w:pPr>
            <w:r w:rsidDel="00000000" w:rsidR="00000000" w:rsidRPr="00000000">
              <w:rPr>
                <w:rtl w:val="0"/>
              </w:rPr>
            </w:r>
          </w:p>
          <w:p w:rsidR="00000000" w:rsidDel="00000000" w:rsidP="00000000" w:rsidRDefault="00000000" w:rsidRPr="00000000" w14:paraId="00000237">
            <w:pPr>
              <w:widowControl w:val="0"/>
              <w:spacing w:line="240" w:lineRule="auto"/>
              <w:rPr/>
            </w:pPr>
            <w:r w:rsidDel="00000000" w:rsidR="00000000" w:rsidRPr="00000000">
              <w:rPr>
                <w:sz w:val="18"/>
                <w:szCs w:val="18"/>
                <w:rtl w:val="0"/>
              </w:rPr>
              <w:t xml:space="preserve">Fuente:</w:t>
            </w:r>
            <w:r w:rsidDel="00000000" w:rsidR="00000000" w:rsidRPr="00000000">
              <w:rPr>
                <w:rtl w:val="0"/>
              </w:rPr>
            </w:r>
          </w:p>
        </w:tc>
      </w:tr>
    </w:tbl>
    <w:p w:rsidR="00000000" w:rsidDel="00000000" w:rsidP="00000000" w:rsidRDefault="00000000" w:rsidRPr="00000000" w14:paraId="00000238">
      <w:pPr>
        <w:ind w:left="0" w:firstLine="0"/>
        <w:rPr/>
      </w:pPr>
      <w:r w:rsidDel="00000000" w:rsidR="00000000" w:rsidRPr="00000000">
        <w:rPr>
          <w:rtl w:val="0"/>
        </w:rPr>
      </w:r>
    </w:p>
    <w:p w:rsidR="00000000" w:rsidDel="00000000" w:rsidP="00000000" w:rsidRDefault="00000000" w:rsidRPr="00000000" w14:paraId="00000239">
      <w:pPr>
        <w:ind w:left="720" w:firstLine="0"/>
        <w:rPr>
          <w:b w:val="1"/>
          <w:bCs w:val="1"/>
        </w:rPr>
      </w:pPr>
      <w:r w:rsidDel="00000000" w:rsidR="00000000" w:rsidRPr="00000000">
        <w:rPr>
          <w:b w:val="1"/>
          <w:bCs w:val="1"/>
          <w:rtl w:val="0"/>
        </w:rPr>
        <w:t xml:space="preserve">8.3.2. La República Dominicana podría considerar el desarrollo y la adopción de normas de conducta aplicables a todos los lobistas.</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77. Al igual que las normas aplicables a los funcionarios públicos, las normas que rigen las interacciones de los lobistas con ellos pueden adoptar diversas formas. Pueden consistir en valores fundamentales y principios rectores que configuran el comportamiento ético en el cabildeo, complementados con un código de conducta más detallado que describe obligaciones específicas. El Recuadro 8.7 ofrece ejemplos de dichas normas en otras jurisdicciones. Normalmente, estas normas incluyen los siguientes tipos de obligaciones:</w:t>
      </w:r>
    </w:p>
    <w:p w:rsidR="00000000" w:rsidDel="00000000" w:rsidP="00000000" w:rsidRDefault="00000000" w:rsidRPr="00000000" w14:paraId="0000023C">
      <w:pPr>
        <w:ind w:left="720" w:firstLine="0"/>
        <w:rPr/>
      </w:pPr>
      <w:r w:rsidDel="00000000" w:rsidR="00000000" w:rsidRPr="00000000">
        <w:rPr>
          <w:rtl w:val="0"/>
        </w:rPr>
      </w:r>
    </w:p>
    <w:p w:rsidR="00000000" w:rsidDel="00000000" w:rsidP="00000000" w:rsidRDefault="00000000" w:rsidRPr="00000000" w14:paraId="0000023D">
      <w:pPr>
        <w:numPr>
          <w:ilvl w:val="0"/>
          <w:numId w:val="4"/>
        </w:numPr>
        <w:ind w:left="720" w:hanging="360"/>
        <w:rPr>
          <w:u w:val="none"/>
        </w:rPr>
      </w:pPr>
      <w:r w:rsidDel="00000000" w:rsidR="00000000" w:rsidRPr="00000000">
        <w:rPr>
          <w:rtl w:val="0"/>
        </w:rPr>
        <w:t xml:space="preserve">El deber de divulgar información veraz y completa y de certificar que la información divulgada es correcta.</w:t>
      </w:r>
    </w:p>
    <w:p w:rsidR="00000000" w:rsidDel="00000000" w:rsidP="00000000" w:rsidRDefault="00000000" w:rsidRPr="00000000" w14:paraId="0000023E">
      <w:pPr>
        <w:numPr>
          <w:ilvl w:val="0"/>
          <w:numId w:val="4"/>
        </w:numPr>
        <w:ind w:left="720" w:hanging="360"/>
        <w:rPr>
          <w:u w:val="none"/>
        </w:rPr>
      </w:pPr>
      <w:r w:rsidDel="00000000" w:rsidR="00000000" w:rsidRPr="00000000">
        <w:rPr>
          <w:rtl w:val="0"/>
        </w:rPr>
        <w:t xml:space="preserve">El deber de presentar información precisa o de no hacer afirmaciones engañosas al interactuar con funcionarios públicos.</w:t>
      </w:r>
    </w:p>
    <w:p w:rsidR="00000000" w:rsidDel="00000000" w:rsidP="00000000" w:rsidRDefault="00000000" w:rsidRPr="00000000" w14:paraId="0000023F">
      <w:pPr>
        <w:numPr>
          <w:ilvl w:val="0"/>
          <w:numId w:val="4"/>
        </w:numPr>
        <w:ind w:left="720" w:hanging="360"/>
        <w:rPr>
          <w:u w:val="none"/>
        </w:rPr>
      </w:pPr>
      <w:r w:rsidDel="00000000" w:rsidR="00000000" w:rsidRPr="00000000">
        <w:rPr>
          <w:rtl w:val="0"/>
        </w:rPr>
        <w:t xml:space="preserve">El deber de revelar, al interactuar con funcionarios públicos, los intereses que representan y el beneficiario final de las actividades de cabildeo.</w:t>
      </w:r>
    </w:p>
    <w:p w:rsidR="00000000" w:rsidDel="00000000" w:rsidP="00000000" w:rsidRDefault="00000000" w:rsidRPr="00000000" w14:paraId="00000240">
      <w:pPr>
        <w:numPr>
          <w:ilvl w:val="0"/>
          <w:numId w:val="4"/>
        </w:numPr>
        <w:ind w:left="720" w:hanging="360"/>
        <w:rPr>
          <w:u w:val="none"/>
        </w:rPr>
      </w:pPr>
      <w:r w:rsidDel="00000000" w:rsidR="00000000" w:rsidRPr="00000000">
        <w:rPr>
          <w:rtl w:val="0"/>
        </w:rPr>
        <w:t xml:space="preserve">El deber de revelar las fuentes de financiación de cualquier investigación o experiencia que proporcionen a funcionarios públicos.  El deber de informar a sus clientes, cuando corresponda, sobre las obligaciones a las que están sujetos en virtud del marco regulatorio del cabildeo.</w:t>
      </w:r>
    </w:p>
    <w:p w:rsidR="00000000" w:rsidDel="00000000" w:rsidP="00000000" w:rsidRDefault="00000000" w:rsidRPr="00000000" w14:paraId="00000241">
      <w:pPr>
        <w:numPr>
          <w:ilvl w:val="0"/>
          <w:numId w:val="4"/>
        </w:numPr>
        <w:ind w:left="720" w:hanging="360"/>
        <w:rPr>
          <w:u w:val="none"/>
        </w:rPr>
      </w:pPr>
      <w:r w:rsidDel="00000000" w:rsidR="00000000" w:rsidRPr="00000000">
        <w:rPr>
          <w:rtl w:val="0"/>
        </w:rPr>
        <w:t xml:space="preserve">La prohibición de ofrecer regalos o cualquier tipo de beneficio personal (en su totalidad o por encima de cierto valor) a funcionarios públicos cuyas funciones y toma de decisiones estén directamente relacionadas con sus actividades de cabildeo.</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78. El proyecto de ley sobre cabildeo ya incluía una disposición que exige al gobierno adoptar un Código de Conducta para cabilderos mediante regulación secundaria. Esto constituye un elemento positivo y con visión de futuro de la propuesta. Sobre esta base, se alienta a la República Dominicana a garantizar que normas claras y exigibles que rijan la conducta de los cabilderos se integren firmemente en cualquier futuro marco regulatorio del cabildeo, ya sea consagrando obligaciones clave directamente en la legislación primaria o imponiendo un Código de Conducta vinculante adoptado mediante regulación.</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pPr>
            <w:r w:rsidDel="00000000" w:rsidR="00000000" w:rsidRPr="00000000">
              <w:rPr>
                <w:b w:val="1"/>
                <w:bCs w:val="1"/>
                <w:color w:val="3c78d8"/>
                <w:rtl w:val="0"/>
              </w:rPr>
              <w:t xml:space="preserve">Recuadro 8.7. Normas de conducta para cabilderos en países seleccionados de la OCDE</w:t>
            </w:r>
            <w:r w:rsidDel="00000000" w:rsidR="00000000" w:rsidRPr="00000000">
              <w:rPr>
                <w:rtl w:val="0"/>
              </w:rPr>
            </w:r>
          </w:p>
          <w:p w:rsidR="00000000" w:rsidDel="00000000" w:rsidP="00000000" w:rsidRDefault="00000000" w:rsidRPr="00000000" w14:paraId="00000247">
            <w:pPr>
              <w:widowControl w:val="0"/>
              <w:spacing w:line="240" w:lineRule="auto"/>
              <w:rPr/>
            </w:pPr>
            <w:r w:rsidDel="00000000" w:rsidR="00000000" w:rsidRPr="00000000">
              <w:rPr>
                <w:rtl w:val="0"/>
              </w:rPr>
            </w:r>
          </w:p>
          <w:p w:rsidR="00000000" w:rsidDel="00000000" w:rsidP="00000000" w:rsidRDefault="00000000" w:rsidRPr="00000000" w14:paraId="00000248">
            <w:pPr>
              <w:widowControl w:val="0"/>
              <w:spacing w:line="240" w:lineRule="auto"/>
              <w:rPr/>
            </w:pPr>
            <w:r w:rsidDel="00000000" w:rsidR="00000000" w:rsidRPr="00000000">
              <w:rPr>
                <w:rtl w:val="0"/>
              </w:rPr>
              <w:t xml:space="preserve">El Código de Conducta de Cabildeo de</w:t>
            </w:r>
            <w:r w:rsidDel="00000000" w:rsidR="00000000" w:rsidRPr="00000000">
              <w:rPr>
                <w:b w:val="1"/>
                <w:bCs w:val="1"/>
                <w:rtl w:val="0"/>
              </w:rPr>
              <w:t xml:space="preserve"> Australia</w:t>
            </w:r>
            <w:r w:rsidDel="00000000" w:rsidR="00000000" w:rsidRPr="00000000">
              <w:rPr>
                <w:rtl w:val="0"/>
              </w:rPr>
              <w:t xml:space="preserve"> incluye normas éticas para ambos grupos. Además de la obligación de registrarse como cabildero antes de comunicarse con un representante del Gobierno australiano para influir en la toma de decisiones en nombre de un tercero, los cabilderos también deben observar, según el artículo 12 del Código, cinco principios al interactuar con representantes del Gobierno australiano: (i) utilizar declaraciones veraces y precisas; (ii) no incurrir en conductas corruptas, deshonestas, ilegales o ilícitas; (iii) no hacer afirmaciones engañosas o exageradas; (iv) mantener separadas las actividades de cabildeo de las actividades personales en nombre de un partido político; (v) dejar siempre claro que son cabilderos registrados que representan a un cliente, el motivo de la reunión y, si corresponde, que son exrepresentantes del Gobierno australiano dentro de un período de prohibición. Los cabilderos que incumplan cualquiera de estas obligaciones podrán ser eliminados del registro.</w:t>
            </w:r>
          </w:p>
          <w:p w:rsidR="00000000" w:rsidDel="00000000" w:rsidP="00000000" w:rsidRDefault="00000000" w:rsidRPr="00000000" w14:paraId="00000249">
            <w:pPr>
              <w:widowControl w:val="0"/>
              <w:spacing w:line="240" w:lineRule="auto"/>
              <w:rPr/>
            </w:pPr>
            <w:r w:rsidDel="00000000" w:rsidR="00000000" w:rsidRPr="00000000">
              <w:rPr>
                <w:rtl w:val="0"/>
              </w:rPr>
            </w:r>
          </w:p>
          <w:p w:rsidR="00000000" w:rsidDel="00000000" w:rsidP="00000000" w:rsidRDefault="00000000" w:rsidRPr="00000000" w14:paraId="0000024A">
            <w:pPr>
              <w:widowControl w:val="0"/>
              <w:spacing w:line="240" w:lineRule="auto"/>
              <w:rPr/>
            </w:pPr>
            <w:r w:rsidDel="00000000" w:rsidR="00000000" w:rsidRPr="00000000">
              <w:rPr>
                <w:rtl w:val="0"/>
              </w:rPr>
              <w:t xml:space="preserve">En </w:t>
            </w:r>
            <w:r w:rsidDel="00000000" w:rsidR="00000000" w:rsidRPr="00000000">
              <w:rPr>
                <w:b w:val="1"/>
                <w:bCs w:val="1"/>
                <w:rtl w:val="0"/>
              </w:rPr>
              <w:t xml:space="preserve">Francia</w:t>
            </w:r>
            <w:r w:rsidDel="00000000" w:rsidR="00000000" w:rsidRPr="00000000">
              <w:rPr>
                <w:rtl w:val="0"/>
              </w:rPr>
              <w:t xml:space="preserve">, el artículo 18-5 de la Ley 2013-907 establece las obligaciones éticas que rigen la conducta de los lobistas. Los lobistas deben actuar con honestidad e integridad en sus relaciones con funcionarios públicos y deben revelar claramente su identidad, la organización que representan y los intereses que promueven. Tienen prohibido ofrecer regalos, donaciones o ventajas, engañar a funcionarios o utilizar métodos deshonestos para influir en decisiones u obtener información. También deben abstenerse de incitar a funcionarios públicos a incumplir sus propias obligaciones éticas o involucrarlos en conferencias remuneradas. Además, no deben hacer uso indebido de información o materiales oficiales para obtener beneficios comerciales y deben extender estas prácticas éticas a sus relaciones con colaboradores cercanos.</w:t>
            </w:r>
          </w:p>
          <w:p w:rsidR="00000000" w:rsidDel="00000000" w:rsidP="00000000" w:rsidRDefault="00000000" w:rsidRPr="00000000" w14:paraId="0000024B">
            <w:pPr>
              <w:widowControl w:val="0"/>
              <w:spacing w:line="240" w:lineRule="auto"/>
              <w:rPr/>
            </w:pPr>
            <w:r w:rsidDel="00000000" w:rsidR="00000000" w:rsidRPr="00000000">
              <w:rPr>
                <w:rtl w:val="0"/>
              </w:rPr>
            </w:r>
          </w:p>
          <w:p w:rsidR="00000000" w:rsidDel="00000000" w:rsidP="00000000" w:rsidRDefault="00000000" w:rsidRPr="00000000" w14:paraId="0000024C">
            <w:pPr>
              <w:widowControl w:val="0"/>
              <w:spacing w:line="240" w:lineRule="auto"/>
              <w:rPr/>
            </w:pPr>
            <w:r w:rsidDel="00000000" w:rsidR="00000000" w:rsidRPr="00000000">
              <w:rPr>
                <w:rtl w:val="0"/>
              </w:rPr>
              <w:t xml:space="preserve">El Código de Conducta de Lobistas de </w:t>
            </w:r>
            <w:r w:rsidDel="00000000" w:rsidR="00000000" w:rsidRPr="00000000">
              <w:rPr>
                <w:b w:val="1"/>
                <w:bCs w:val="1"/>
                <w:rtl w:val="0"/>
              </w:rPr>
              <w:t xml:space="preserve">Canadá</w:t>
            </w:r>
            <w:r w:rsidDel="00000000" w:rsidR="00000000" w:rsidRPr="00000000">
              <w:rPr>
                <w:rtl w:val="0"/>
              </w:rPr>
              <w:t xml:space="preserve">, actualizado en 2023 tras amplias consultas con las partes interesadas pertinentes, define las normas de comportamiento ético que deben cumplir los lobistas. El Código se aplica a cualquier persona que deba estar identificada como lobista en el Registro de Lobistas. Abarca las actividades de cabildeo y las interacciones que los cabilderos mantienen con funcionarios a los que presionan o esperan presionar. El Comisionado de Cabildeo administra el Código, y las infracciones pueden dar lugar a un informe al Parlamento.</w:t>
            </w:r>
          </w:p>
          <w:p w:rsidR="00000000" w:rsidDel="00000000" w:rsidP="00000000" w:rsidRDefault="00000000" w:rsidRPr="00000000" w14:paraId="0000024D">
            <w:pPr>
              <w:widowControl w:val="0"/>
              <w:spacing w:line="240" w:lineRule="auto"/>
              <w:rPr/>
            </w:pPr>
            <w:r w:rsidDel="00000000" w:rsidR="00000000" w:rsidRPr="00000000">
              <w:rPr>
                <w:rtl w:val="0"/>
              </w:rPr>
            </w:r>
          </w:p>
          <w:p w:rsidR="00000000" w:rsidDel="00000000" w:rsidP="00000000" w:rsidRDefault="00000000" w:rsidRPr="00000000" w14:paraId="0000024E">
            <w:pPr>
              <w:widowControl w:val="0"/>
              <w:spacing w:line="240" w:lineRule="auto"/>
              <w:rPr/>
            </w:pPr>
            <w:r w:rsidDel="00000000" w:rsidR="00000000" w:rsidRPr="00000000">
              <w:rPr>
                <w:rtl w:val="0"/>
              </w:rPr>
              <w:t xml:space="preserve">El Código de Conducta de </w:t>
            </w:r>
            <w:r w:rsidDel="00000000" w:rsidR="00000000" w:rsidRPr="00000000">
              <w:rPr>
                <w:b w:val="1"/>
                <w:bCs w:val="1"/>
                <w:rtl w:val="0"/>
              </w:rPr>
              <w:t xml:space="preserve">Alemania</w:t>
            </w:r>
            <w:r w:rsidDel="00000000" w:rsidR="00000000" w:rsidRPr="00000000">
              <w:rPr>
                <w:rtl w:val="0"/>
              </w:rPr>
              <w:t xml:space="preserve"> para representantes de intereses especiales les exige respetar los principios de apertura, transparencia, honestidad e integridad, y establece normas para el contacto con miembros del Bundestag y del Gobierno Federal. Las infracciones del Código de Conducta se publican en el Registro de Cabildeo.</w:t>
            </w:r>
          </w:p>
          <w:p w:rsidR="00000000" w:rsidDel="00000000" w:rsidP="00000000" w:rsidRDefault="00000000" w:rsidRPr="00000000" w14:paraId="0000024F">
            <w:pPr>
              <w:widowControl w:val="0"/>
              <w:spacing w:line="240" w:lineRule="auto"/>
              <w:rPr/>
            </w:pPr>
            <w:r w:rsidDel="00000000" w:rsidR="00000000" w:rsidRPr="00000000">
              <w:rPr>
                <w:rtl w:val="0"/>
              </w:rPr>
            </w:r>
          </w:p>
          <w:p w:rsidR="00000000" w:rsidDel="00000000" w:rsidP="00000000" w:rsidRDefault="00000000" w:rsidRPr="00000000" w14:paraId="00000250">
            <w:pPr>
              <w:widowControl w:val="0"/>
              <w:spacing w:line="240" w:lineRule="auto"/>
              <w:rPr/>
            </w:pPr>
            <w:r w:rsidDel="00000000" w:rsidR="00000000" w:rsidRPr="00000000">
              <w:rPr>
                <w:rtl w:val="0"/>
              </w:rPr>
              <w:t xml:space="preserve">El Código de Conducta de </w:t>
            </w:r>
            <w:r w:rsidDel="00000000" w:rsidR="00000000" w:rsidRPr="00000000">
              <w:rPr>
                <w:b w:val="1"/>
                <w:bCs w:val="1"/>
                <w:rtl w:val="0"/>
              </w:rPr>
              <w:t xml:space="preserve">Irlanda</w:t>
            </w:r>
            <w:r w:rsidDel="00000000" w:rsidR="00000000" w:rsidRPr="00000000">
              <w:rPr>
                <w:rtl w:val="0"/>
              </w:rPr>
              <w:t xml:space="preserve"> para el Cabildeo, promulgado en virtud de la Ley de Regulación del Cabildeo de 2015, establece estándares éticos para las personas y organizaciones que participan en actividades de cabildeo. El Código exige a los cabilderos actuar con honestidad, respeto e integridad, proporcionar información precisa y no engañosa, y evitar poner a los funcionarios públicos en una situación de conflicto de intereses.</w:t>
            </w:r>
          </w:p>
          <w:p w:rsidR="00000000" w:rsidDel="00000000" w:rsidP="00000000" w:rsidRDefault="00000000" w:rsidRPr="00000000" w14:paraId="00000251">
            <w:pPr>
              <w:widowControl w:val="0"/>
              <w:spacing w:line="240" w:lineRule="auto"/>
              <w:rPr/>
            </w:pPr>
            <w:r w:rsidDel="00000000" w:rsidR="00000000" w:rsidRPr="00000000">
              <w:rPr>
                <w:rtl w:val="0"/>
              </w:rPr>
            </w:r>
          </w:p>
          <w:p w:rsidR="00000000" w:rsidDel="00000000" w:rsidP="00000000" w:rsidRDefault="00000000" w:rsidRPr="00000000" w14:paraId="00000252">
            <w:pPr>
              <w:widowControl w:val="0"/>
              <w:spacing w:line="240" w:lineRule="auto"/>
              <w:rPr/>
            </w:pPr>
            <w:r w:rsidDel="00000000" w:rsidR="00000000" w:rsidRPr="00000000">
              <w:rPr>
                <w:rtl w:val="0"/>
              </w:rPr>
              <w:t xml:space="preserve">La Ley de Cabildeo de </w:t>
            </w:r>
            <w:r w:rsidDel="00000000" w:rsidR="00000000" w:rsidRPr="00000000">
              <w:rPr>
                <w:b w:val="1"/>
                <w:bCs w:val="1"/>
                <w:rtl w:val="0"/>
              </w:rPr>
              <w:t xml:space="preserve">Chile </w:t>
            </w:r>
            <w:r w:rsidDel="00000000" w:rsidR="00000000" w:rsidRPr="00000000">
              <w:rPr>
                <w:rtl w:val="0"/>
              </w:rPr>
              <w:t xml:space="preserve">establece obligaciones éticas para los cabilderos. Deben proporcionar información precisa y oportuna a los funcionarios públicos cuando soliciten reuniones, incluyendo la identidad de los asistentes y los temas a tratar. También deben revelar a quién representan y si reciben remuneración por sus acciones. Además, un Código de Buenas Prácticas para Lobbistas, de carácter voluntario, exige que los lobbistas actúen con honestidad, integridad, transparencia y profesionalismo, garantizando que sus actividades se alineen con el interés público.</w:t>
            </w:r>
          </w:p>
          <w:p w:rsidR="00000000" w:rsidDel="00000000" w:rsidP="00000000" w:rsidRDefault="00000000" w:rsidRPr="00000000" w14:paraId="00000253">
            <w:pPr>
              <w:widowControl w:val="0"/>
              <w:spacing w:line="240" w:lineRule="auto"/>
              <w:rPr/>
            </w:pPr>
            <w:r w:rsidDel="00000000" w:rsidR="00000000" w:rsidRPr="00000000">
              <w:rPr>
                <w:rtl w:val="0"/>
              </w:rPr>
            </w:r>
          </w:p>
          <w:p w:rsidR="00000000" w:rsidDel="00000000" w:rsidP="00000000" w:rsidRDefault="00000000" w:rsidRPr="00000000" w14:paraId="00000254">
            <w:pPr>
              <w:widowControl w:val="0"/>
              <w:spacing w:line="240" w:lineRule="auto"/>
              <w:rPr>
                <w:sz w:val="18"/>
                <w:szCs w:val="18"/>
              </w:rPr>
            </w:pPr>
            <w:r w:rsidDel="00000000" w:rsidR="00000000" w:rsidRPr="00000000">
              <w:rPr>
                <w:sz w:val="18"/>
                <w:szCs w:val="18"/>
                <w:rtl w:val="0"/>
              </w:rPr>
              <w:t xml:space="preserve">Fuente: actualizado a partir de</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ind w:left="0" w:firstLine="0"/>
        <w:rPr/>
      </w:pPr>
      <w:r w:rsidDel="00000000" w:rsidR="00000000" w:rsidRPr="00000000">
        <w:rPr>
          <w:rtl w:val="0"/>
        </w:rPr>
      </w:r>
    </w:p>
    <w:p w:rsidR="00000000" w:rsidDel="00000000" w:rsidP="00000000" w:rsidRDefault="00000000" w:rsidRPr="00000000" w14:paraId="00000258">
      <w:pPr>
        <w:ind w:left="720" w:firstLine="0"/>
        <w:rPr>
          <w:b w:val="1"/>
          <w:bCs w:val="1"/>
        </w:rPr>
      </w:pPr>
      <w:r w:rsidDel="00000000" w:rsidR="00000000" w:rsidRPr="00000000">
        <w:rPr>
          <w:b w:val="1"/>
          <w:bCs w:val="1"/>
          <w:rtl w:val="0"/>
        </w:rPr>
        <w:t xml:space="preserve">8.3.3. La República Dominicana podría adoptar incentivos específicos para fomentar una participación más responsable y transparente de las empresas y asociaciones empresariales en la formulación de políticas.</w:t>
      </w:r>
    </w:p>
    <w:p w:rsidR="00000000" w:rsidDel="00000000" w:rsidP="00000000" w:rsidRDefault="00000000" w:rsidRPr="00000000" w14:paraId="00000259">
      <w:pPr>
        <w:ind w:left="720" w:firstLine="0"/>
        <w:rPr>
          <w:b w:val="1"/>
          <w:bCs w:val="1"/>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79. Dado el creciente escrutinio público e inversor sobre las prácticas de cabildeo corporativo y la participación política, los gobiernos pueden adoptar incentivos específicos para fomentar una participación más responsable y transparente de las empresas y asociaciones empresariales en el proceso de formulación de políticas. Una preocupación clave entre los inversores institucionales es la discrepancia entre los compromisos públicos de sostenibilidad de las empresas, como los objetivos climáticos o sociales, y sus actividades de cabildeo entre bastidores, que pueden ir en contra de estos mismos objetivos. Esta contradicción percibida ha llevado a una mayor demanda de los inversores de estándares sólidos, transparencia y rendición de cuentas en la forma en que las empresas se involucran políticamente, y el cabildeo se considera cada vez más no solo un riesgo para la reputación, sino también un riesgo material para la inversión (OCDE, 2021).</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80. Para ayudar a cerrar esta brecha, varios instrumentos de la OCDE establecen expectativas claras para el comportamiento corporativo en este ámbito (Recuadro 8.8). Entre ellos se incluyen la Recomendación de la OCDE y las Líneas Directrices de la OCDE para Empresas Multinacionales sobre Conducta Empresarial Responsable, que alientan a las empresas a garantizar que sus actividades de cabildeo estén alineadas con sus compromisos más amplios en una variedad de temas sociales y ambientales. De igual manera, la Recomendación de la OCDE sobre Transparencia e Integridad en el Cabildeo y la Influencia y los Principios de Gobierno Corporativo de la OCDE/G20 alientan a las empresas a garantizar que sus estrategias de cabildeo e influencia sean coherentes con sus objetivos y metas relacionados con la sostenibilidad.</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81. En ese contexto, y en línea con la recomendación del </w:t>
      </w:r>
      <w:r w:rsidDel="00000000" w:rsidR="00000000" w:rsidRPr="00000000">
        <w:rPr>
          <w:highlight w:val="green"/>
          <w:rtl w:val="0"/>
        </w:rPr>
        <w:t xml:space="preserve">Capítulo 5</w:t>
      </w:r>
      <w:r w:rsidDel="00000000" w:rsidR="00000000" w:rsidRPr="00000000">
        <w:rPr>
          <w:rtl w:val="0"/>
        </w:rPr>
        <w:t xml:space="preserve"> de fortalecer la responsabilidad compartida del sector privado dominicano en materia de integridad, el gobierno dominicano podría promover la responsabilidad Conducta empresarial alentando a las empresas y grupos de interés a adoptar normas y procedimientos internos formalizados para el cabildeo y otras formas de participación. Esto ayudaría a garantizar tanto al público como a los inversores que las actividades de cabildeo se llevan a cabo de forma profesional, ética y en consonancia con las expectativas sociales más amplias. El Código de Conducta propuesto en el cabildeo especificaba que permitiría la adopción de compromisos voluntarios adicionales por parte de los cabilderos, incluso mediante mecanismos de acción colectiva, como las iniciativas de responsabilidad social corporativa, sujetos a la supervisión y el seguimiento adecuados. Este es un paso encomiable que sienta un ejemplo en la región. En este sentido, iniciativas como el Código de Ética y Conducta del Consejo Nacional de la Empresa Privada (CONEP) podrían promoverse aún más y potencialmente alinearse con el marco regulatorio propuesto sobre cabildeo para garantizar la coherencia y la credibilidad (CONEP, 2022 [24]).</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82. El cabildeo responsable también podría promoverse a través de los programas de cumplimiento corporativo existentes, ampliando su alcance para abarcar explícitamente las actividades de cabildeo e influencia. Esto podría incluir exigir a las empresas que adopten, implementen y Revisar periódicamente las políticas y procedimientos internos de cabildeo responsable, de acuerdo con las recomendaciones descritas en la </w:t>
      </w:r>
      <w:r w:rsidDel="00000000" w:rsidR="00000000" w:rsidRPr="00000000">
        <w:rPr>
          <w:highlight w:val="green"/>
          <w:rtl w:val="0"/>
        </w:rPr>
        <w:t xml:space="preserve">sección 5.2.2 del Capítulo 5</w:t>
      </w:r>
      <w:r w:rsidDel="00000000" w:rsidR="00000000" w:rsidRPr="00000000">
        <w:rPr>
          <w:rtl w:val="0"/>
        </w:rPr>
        <w:t xml:space="preserve">, integrando así los estándares de transparencia, integridad y rendición de cuentas para el cabildeo en marcos más amplios de cumplimiento corporativo.</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83. Por último, los principios de cabildeo responsable también podrían integrarse en los marcos de gobierno corporativo. Como lo recomiendan los Principios de Gobierno Corporativo de la OCDE/G20, las disposiciones legales pueden ayudar a garantizar que las actividades de cabildeo estén sujetas a controles internos adecuados y a la supervisión de los accionistas.</w:t>
      </w:r>
    </w:p>
    <w:p w:rsidR="00000000" w:rsidDel="00000000" w:rsidP="00000000" w:rsidRDefault="00000000" w:rsidRPr="00000000" w14:paraId="00000263">
      <w:pPr>
        <w:rPr/>
      </w:pPr>
      <w:r w:rsidDel="00000000" w:rsidR="00000000" w:rsidRPr="00000000">
        <w:rPr>
          <w:rtl w:val="0"/>
        </w:rPr>
        <w:t xml:space="preserve">Por ejemplo, según la Ley de Sociedades del Reino Unido (Parte 14, “Control de donaciones y gastos políticos”), las empresas tienen prohibido realizar donaciones políticas o incurrir en gastos políticos a menos que lo autorice una resolución formal aprobada por los accionistas. Se podrían considerar mecanismos legales similares en la República Dominicana para mejorar la rendición de cuentas, garantizar la alineación con los valores corporativos y reforzar la confianza pública en la participación del sector privado en el proceso de formulación de políticas (OCDE/PRI, 2022 [25]).</w:t>
      </w:r>
    </w:p>
    <w:p w:rsidR="00000000" w:rsidDel="00000000" w:rsidP="00000000" w:rsidRDefault="00000000" w:rsidRPr="00000000" w14:paraId="00000264">
      <w:pPr>
        <w:ind w:left="0" w:firstLine="0"/>
        <w:rPr/>
      </w:pPr>
      <w:r w:rsidDel="00000000" w:rsidR="00000000" w:rsidRPr="00000000">
        <w:rPr>
          <w:rtl w:val="0"/>
        </w:rPr>
      </w:r>
    </w:p>
    <w:p w:rsidR="00000000" w:rsidDel="00000000" w:rsidP="00000000" w:rsidRDefault="00000000" w:rsidRPr="00000000" w14:paraId="00000265">
      <w:pPr>
        <w:ind w:left="0" w:firstLine="0"/>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pPr>
            <w:r w:rsidDel="00000000" w:rsidR="00000000" w:rsidRPr="00000000">
              <w:rPr>
                <w:b w:val="1"/>
                <w:bCs w:val="1"/>
                <w:color w:val="3c78d8"/>
                <w:rtl w:val="0"/>
              </w:rPr>
              <w:t xml:space="preserve">Recuadro 8.8. Estándares de la OCDE que establecen las expectativas (gubernamentales) para las empresas en materia de cabildeo</w:t>
            </w:r>
            <w:r w:rsidDel="00000000" w:rsidR="00000000" w:rsidRPr="00000000">
              <w:rPr>
                <w:rtl w:val="0"/>
              </w:rPr>
            </w:r>
          </w:p>
          <w:p w:rsidR="00000000" w:rsidDel="00000000" w:rsidP="00000000" w:rsidRDefault="00000000" w:rsidRPr="00000000" w14:paraId="00000267">
            <w:pPr>
              <w:widowControl w:val="0"/>
              <w:spacing w:line="240" w:lineRule="auto"/>
              <w:rPr>
                <w:b w:val="1"/>
                <w:bCs w:val="1"/>
              </w:rPr>
            </w:pPr>
            <w:r w:rsidDel="00000000" w:rsidR="00000000" w:rsidRPr="00000000">
              <w:rPr>
                <w:rtl w:val="0"/>
              </w:rPr>
            </w:r>
          </w:p>
          <w:p w:rsidR="00000000" w:rsidDel="00000000" w:rsidP="00000000" w:rsidRDefault="00000000" w:rsidRPr="00000000" w14:paraId="00000268">
            <w:pPr>
              <w:widowControl w:val="0"/>
              <w:spacing w:line="240" w:lineRule="auto"/>
              <w:rPr>
                <w:b w:val="1"/>
                <w:bCs w:val="1"/>
              </w:rPr>
            </w:pPr>
            <w:r w:rsidDel="00000000" w:rsidR="00000000" w:rsidRPr="00000000">
              <w:rPr>
                <w:b w:val="1"/>
                <w:bCs w:val="1"/>
                <w:rtl w:val="0"/>
              </w:rPr>
              <w:t xml:space="preserve">Directrices de la OCDE para Empresas Multinacionales sobre Conducta Empresarial Responsable</w:t>
            </w:r>
          </w:p>
          <w:p w:rsidR="00000000" w:rsidDel="00000000" w:rsidP="00000000" w:rsidRDefault="00000000" w:rsidRPr="00000000" w14:paraId="00000269">
            <w:pPr>
              <w:widowControl w:val="0"/>
              <w:spacing w:line="240" w:lineRule="auto"/>
              <w:rPr>
                <w:b w:val="1"/>
                <w:bCs w:val="1"/>
              </w:rPr>
            </w:pPr>
            <w:r w:rsidDel="00000000" w:rsidR="00000000" w:rsidRPr="00000000">
              <w:rPr>
                <w:rtl w:val="0"/>
              </w:rPr>
            </w:r>
          </w:p>
          <w:p w:rsidR="00000000" w:rsidDel="00000000" w:rsidP="00000000" w:rsidRDefault="00000000" w:rsidRPr="00000000" w14:paraId="0000026A">
            <w:pPr>
              <w:widowControl w:val="0"/>
              <w:spacing w:line="240" w:lineRule="auto"/>
              <w:rPr>
                <w:i w:val="1"/>
                <w:iCs w:val="1"/>
              </w:rPr>
            </w:pPr>
            <w:r w:rsidDel="00000000" w:rsidR="00000000" w:rsidRPr="00000000">
              <w:rPr>
                <w:b w:val="1"/>
                <w:bCs w:val="1"/>
                <w:rtl w:val="0"/>
              </w:rPr>
              <w:t xml:space="preserve">Políticas Generales – A.5:</w:t>
            </w:r>
            <w:r w:rsidDel="00000000" w:rsidR="00000000" w:rsidRPr="00000000">
              <w:rPr>
                <w:rtl w:val="0"/>
              </w:rPr>
              <w:t xml:space="preserve"> </w:t>
            </w:r>
            <w:r w:rsidDel="00000000" w:rsidR="00000000" w:rsidRPr="00000000">
              <w:rPr>
                <w:i w:val="1"/>
                <w:iCs w:val="1"/>
                <w:rtl w:val="0"/>
              </w:rPr>
              <w:t xml:space="preserve">“Las empresas deben garantizar la transparencia y la integridad en las actividades de cabildeo y abstenerse de solicitar o aceptar exenciones no contempladas en el marco legal o regulatorio en materia de derechos humanos, medio ambiente, salud, seguridad, trabajo, impuestos, incentivos financieros u otras cuestiones”. </w:t>
            </w:r>
          </w:p>
          <w:p w:rsidR="00000000" w:rsidDel="00000000" w:rsidP="00000000" w:rsidRDefault="00000000" w:rsidRPr="00000000" w14:paraId="0000026B">
            <w:pPr>
              <w:widowControl w:val="0"/>
              <w:spacing w:line="240" w:lineRule="auto"/>
              <w:rPr/>
            </w:pPr>
            <w:r w:rsidDel="00000000" w:rsidR="00000000" w:rsidRPr="00000000">
              <w:rPr>
                <w:rtl w:val="0"/>
              </w:rPr>
            </w:r>
          </w:p>
          <w:p w:rsidR="00000000" w:rsidDel="00000000" w:rsidP="00000000" w:rsidRDefault="00000000" w:rsidRPr="00000000" w14:paraId="0000026C">
            <w:pPr>
              <w:widowControl w:val="0"/>
              <w:spacing w:line="240" w:lineRule="auto"/>
              <w:rPr>
                <w:b w:val="1"/>
                <w:bCs w:val="1"/>
              </w:rPr>
            </w:pPr>
            <w:r w:rsidDel="00000000" w:rsidR="00000000" w:rsidRPr="00000000">
              <w:rPr>
                <w:b w:val="1"/>
                <w:bCs w:val="1"/>
                <w:rtl w:val="0"/>
              </w:rPr>
              <w:t xml:space="preserve">Principios de Gobierno Corporativo de la OCDE/G2</w:t>
            </w:r>
          </w:p>
          <w:p w:rsidR="00000000" w:rsidDel="00000000" w:rsidP="00000000" w:rsidRDefault="00000000" w:rsidRPr="00000000" w14:paraId="0000026D">
            <w:pPr>
              <w:widowControl w:val="0"/>
              <w:spacing w:line="240" w:lineRule="auto"/>
              <w:rPr/>
            </w:pPr>
            <w:r w:rsidDel="00000000" w:rsidR="00000000" w:rsidRPr="00000000">
              <w:rPr>
                <w:rtl w:val="0"/>
              </w:rPr>
            </w:r>
          </w:p>
          <w:p w:rsidR="00000000" w:rsidDel="00000000" w:rsidP="00000000" w:rsidRDefault="00000000" w:rsidRPr="00000000" w14:paraId="0000026E">
            <w:pPr>
              <w:widowControl w:val="0"/>
              <w:spacing w:line="240" w:lineRule="auto"/>
              <w:rPr>
                <w:i w:val="1"/>
                <w:iCs w:val="1"/>
              </w:rPr>
            </w:pPr>
            <w:r w:rsidDel="00000000" w:rsidR="00000000" w:rsidRPr="00000000">
              <w:rPr>
                <w:b w:val="1"/>
                <w:bCs w:val="1"/>
                <w:rtl w:val="0"/>
              </w:rPr>
              <w:t xml:space="preserve">Capítulo VI – Sostenibilidad y resiliencia – VI.C.1</w:t>
            </w:r>
            <w:r w:rsidDel="00000000" w:rsidR="00000000" w:rsidRPr="00000000">
              <w:rPr>
                <w:rtl w:val="0"/>
              </w:rPr>
              <w:t xml:space="preserve">: </w:t>
            </w:r>
            <w:r w:rsidDel="00000000" w:rsidR="00000000" w:rsidRPr="00000000">
              <w:rPr>
                <w:i w:val="1"/>
                <w:iCs w:val="1"/>
                <w:rtl w:val="0"/>
              </w:rPr>
              <w:t xml:space="preserve">“Los consejos de administración deben garantizar que las actividades de cabildeo de las empresas sean coherentes con sus objetivos y metas en materia de sostenibilidad.</w:t>
            </w:r>
          </w:p>
          <w:p w:rsidR="00000000" w:rsidDel="00000000" w:rsidP="00000000" w:rsidRDefault="00000000" w:rsidRPr="00000000" w14:paraId="0000026F">
            <w:pPr>
              <w:widowControl w:val="0"/>
              <w:spacing w:line="240" w:lineRule="auto"/>
              <w:rPr>
                <w:i w:val="1"/>
                <w:iCs w:val="1"/>
              </w:rPr>
            </w:pPr>
            <w:r w:rsidDel="00000000" w:rsidR="00000000" w:rsidRPr="00000000">
              <w:rPr>
                <w:rtl w:val="0"/>
              </w:rPr>
            </w:r>
          </w:p>
          <w:p w:rsidR="00000000" w:rsidDel="00000000" w:rsidP="00000000" w:rsidRDefault="00000000" w:rsidRPr="00000000" w14:paraId="00000270">
            <w:pPr>
              <w:widowControl w:val="0"/>
              <w:spacing w:line="240" w:lineRule="auto"/>
              <w:rPr>
                <w:i w:val="1"/>
                <w:iCs w:val="1"/>
              </w:rPr>
            </w:pPr>
            <w:r w:rsidDel="00000000" w:rsidR="00000000" w:rsidRPr="00000000">
              <w:rPr>
                <w:i w:val="1"/>
                <w:iCs w:val="1"/>
                <w:rtl w:val="0"/>
              </w:rPr>
              <w:t xml:space="preserve">Los consejos de administración deben supervisar eficazmente las actividades de cabildeo que la dirección lleva a cabo y financia en nombre de la empresa, a fin de garantizar que la dirección tenga debidamente en cuenta la estrategia a largo plazo de sostenibilidad adoptada por el consejo. Por ejemplo, cabildear contra cualquier política de fijación de precios del carbono podría aumentar las ganancias a corto plazo de una empresa, pero no estar en consonancia con su objetivo de lograr una transición ordenada hacia una economía baja en carbono. En algunas jurisdicciones, los consejos de administración también desempeñan un papel en la supervisión de la divulgación de donaciones políticas, incluidas las relacionadas con actividades de cabildeo”. </w:t>
            </w:r>
          </w:p>
          <w:p w:rsidR="00000000" w:rsidDel="00000000" w:rsidP="00000000" w:rsidRDefault="00000000" w:rsidRPr="00000000" w14:paraId="00000271">
            <w:pPr>
              <w:widowControl w:val="0"/>
              <w:spacing w:line="240" w:lineRule="auto"/>
              <w:rPr/>
            </w:pPr>
            <w:r w:rsidDel="00000000" w:rsidR="00000000" w:rsidRPr="00000000">
              <w:rPr>
                <w:rtl w:val="0"/>
              </w:rPr>
            </w:r>
          </w:p>
          <w:p w:rsidR="00000000" w:rsidDel="00000000" w:rsidP="00000000" w:rsidRDefault="00000000" w:rsidRPr="00000000" w14:paraId="00000272">
            <w:pPr>
              <w:widowControl w:val="0"/>
              <w:spacing w:line="240" w:lineRule="auto"/>
              <w:rPr>
                <w:b w:val="1"/>
                <w:bCs w:val="1"/>
              </w:rPr>
            </w:pPr>
            <w:r w:rsidDel="00000000" w:rsidR="00000000" w:rsidRPr="00000000">
              <w:rPr>
                <w:b w:val="1"/>
                <w:bCs w:val="1"/>
                <w:rtl w:val="0"/>
              </w:rPr>
              <w:t xml:space="preserve">Recomendación de la OCDE sobre Transparencia e Integridad en el Cabildeo y la Influencia, y próxima Guía sobre Cabildeo Corporativo Responsable y Participación Política</w:t>
            </w:r>
          </w:p>
          <w:p w:rsidR="00000000" w:rsidDel="00000000" w:rsidP="00000000" w:rsidRDefault="00000000" w:rsidRPr="00000000" w14:paraId="00000273">
            <w:pPr>
              <w:widowControl w:val="0"/>
              <w:spacing w:line="240" w:lineRule="auto"/>
              <w:rPr/>
            </w:pPr>
            <w:r w:rsidDel="00000000" w:rsidR="00000000" w:rsidRPr="00000000">
              <w:rPr>
                <w:rtl w:val="0"/>
              </w:rPr>
            </w:r>
          </w:p>
          <w:p w:rsidR="00000000" w:rsidDel="00000000" w:rsidP="00000000" w:rsidRDefault="00000000" w:rsidRPr="00000000" w14:paraId="00000274">
            <w:pPr>
              <w:widowControl w:val="0"/>
              <w:spacing w:line="240" w:lineRule="auto"/>
              <w:rPr>
                <w:i w:val="1"/>
                <w:iCs w:val="1"/>
              </w:rPr>
            </w:pPr>
            <w:r w:rsidDel="00000000" w:rsidR="00000000" w:rsidRPr="00000000">
              <w:rPr>
                <w:rtl w:val="0"/>
              </w:rPr>
              <w:t xml:space="preserve">Principio VI b) y c) de la Recomendación:</w:t>
            </w:r>
            <w:r w:rsidDel="00000000" w:rsidR="00000000" w:rsidRPr="00000000">
              <w:rPr>
                <w:i w:val="1"/>
                <w:iCs w:val="1"/>
                <w:rtl w:val="0"/>
              </w:rPr>
              <w:t xml:space="preserve"> “Los adherentes deberían (…): b) garantizar que las actividades de cabildeo e influencia de las empresas sean coherentes con sus compromisos y objetivos en materia de conducta empresarial responsable; c) alentar a las empresas a implementar medidas de debida diligencia para garantizar que sus actividades de cabildeo e influencia estén coordinadas y sean coherentes con sus iniciativas en materia de anticorrupción, conducta empresarial responsable e integridad pública, así como con sus objetivos ambientales, sociales y de gobernanza más amplios”.</w:t>
            </w:r>
          </w:p>
          <w:p w:rsidR="00000000" w:rsidDel="00000000" w:rsidP="00000000" w:rsidRDefault="00000000" w:rsidRPr="00000000" w14:paraId="00000275">
            <w:pPr>
              <w:widowControl w:val="0"/>
              <w:spacing w:line="240" w:lineRule="auto"/>
              <w:rPr/>
            </w:pPr>
            <w:r w:rsidDel="00000000" w:rsidR="00000000" w:rsidRPr="00000000">
              <w:rPr>
                <w:rtl w:val="0"/>
              </w:rPr>
            </w:r>
          </w:p>
          <w:p w:rsidR="00000000" w:rsidDel="00000000" w:rsidP="00000000" w:rsidRDefault="00000000" w:rsidRPr="00000000" w14:paraId="00000276">
            <w:pPr>
              <w:widowControl w:val="0"/>
              <w:spacing w:line="240" w:lineRule="auto"/>
              <w:rPr/>
            </w:pPr>
            <w:r w:rsidDel="00000000" w:rsidR="00000000" w:rsidRPr="00000000">
              <w:rPr>
                <w:rtl w:val="0"/>
              </w:rPr>
              <w:t xml:space="preserve">La próxima </w:t>
            </w:r>
            <w:r w:rsidDel="00000000" w:rsidR="00000000" w:rsidRPr="00000000">
              <w:rPr>
                <w:b w:val="1"/>
                <w:bCs w:val="1"/>
                <w:rtl w:val="0"/>
              </w:rPr>
              <w:t xml:space="preserve">Guía de la OCDE sobre Cabildeo Corporativo Responsable y Participación Política</w:t>
            </w:r>
            <w:r w:rsidDel="00000000" w:rsidR="00000000" w:rsidRPr="00000000">
              <w:rPr>
                <w:rtl w:val="0"/>
              </w:rPr>
              <w:t xml:space="preserve"> ampliará estos dos principios para proporcionar un marco de referencia para que las empresas lleven a cabo sus actividades de cabildeo e influencia de manera responsable. Concretamente, la Guía recomienda que las empresas adopten políticas integrales sobre cabildeo responsable y participación política, y exige sistemas de gobernanza interna sólidos, incluida la supervisión a nivel de directorio.</w:t>
            </w:r>
          </w:p>
          <w:p w:rsidR="00000000" w:rsidDel="00000000" w:rsidP="00000000" w:rsidRDefault="00000000" w:rsidRPr="00000000" w14:paraId="00000277">
            <w:pPr>
              <w:widowControl w:val="0"/>
              <w:spacing w:line="240" w:lineRule="auto"/>
              <w:rPr/>
            </w:pPr>
            <w:r w:rsidDel="00000000" w:rsidR="00000000" w:rsidRPr="00000000">
              <w:rPr>
                <w:rtl w:val="0"/>
              </w:rPr>
            </w:r>
          </w:p>
          <w:p w:rsidR="00000000" w:rsidDel="00000000" w:rsidP="00000000" w:rsidRDefault="00000000" w:rsidRPr="00000000" w14:paraId="00000278">
            <w:pPr>
              <w:widowControl w:val="0"/>
              <w:spacing w:line="240" w:lineRule="auto"/>
              <w:rPr>
                <w:sz w:val="18"/>
                <w:szCs w:val="18"/>
              </w:rPr>
            </w:pPr>
            <w:r w:rsidDel="00000000" w:rsidR="00000000" w:rsidRPr="00000000">
              <w:rPr>
                <w:sz w:val="18"/>
                <w:szCs w:val="18"/>
                <w:rtl w:val="0"/>
              </w:rPr>
              <w:t xml:space="preserve">Fuente: </w:t>
            </w:r>
          </w:p>
        </w:tc>
      </w:tr>
    </w:tbl>
    <w:p w:rsidR="00000000" w:rsidDel="00000000" w:rsidP="00000000" w:rsidRDefault="00000000" w:rsidRPr="00000000" w14:paraId="00000279">
      <w:pPr>
        <w:ind w:left="0" w:firstLine="0"/>
        <w:rPr/>
      </w:pPr>
      <w:r w:rsidDel="00000000" w:rsidR="00000000" w:rsidRPr="00000000">
        <w:rPr>
          <w:rtl w:val="0"/>
        </w:rPr>
      </w:r>
    </w:p>
    <w:p w:rsidR="00000000" w:rsidDel="00000000" w:rsidP="00000000" w:rsidRDefault="00000000" w:rsidRPr="00000000" w14:paraId="0000027A">
      <w:pPr>
        <w:rPr/>
      </w:pPr>
      <w:r w:rsidDel="00000000" w:rsidR="00000000" w:rsidRPr="00000000">
        <w:rPr>
          <w:b w:val="1"/>
          <w:bCs w:val="1"/>
          <w:color w:val="3c78d8"/>
          <w:rtl w:val="0"/>
        </w:rPr>
        <w:t xml:space="preserve">8.4. Garantizar el cumplimiento y la revisión efectivos del marco regulatorio del cabildeo</w:t>
      </w: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Una regulación eficaz del cabildeo depende no solo de normas claras y requisitos de divulgación, sino también de mecanismos sólidos de supervisión, cumplimiento y revisión continua. Garantizar el cumplimiento requiere un marco institucional independiente, con recursos adecuados y facultades para supervisar la implementación, investigar infracciones, aplicar sanciones y promover la concienciación y la orientación entre las partes interesadas. La supervisión independiente es especialmente esencial para garantizar una aplicación imparcial de la normativa y para proporcionar respuestas creíbles, incluyendo medidas correctivas o reparación cuando corresponda, ante las infracciones de la normativa sobre cabildeo (OCDE, 2010 [2]). Por consiguiente, esta sección examina cómo la República Dominicana podría fortalecer la eficacia operativa de un futuro marco regulatorio del cabildeo mediante el establecimiento de mecanismos creíbles de supervisión y cumplimiento, la incorporación de sanciones proporcionadas y el fomento de la participación continua de las partes interesadas y la revisión periódica, de conformidad con los estándares de la OCDE.</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ind w:left="720" w:firstLine="0"/>
        <w:rPr>
          <w:b w:val="1"/>
          <w:bCs w:val="1"/>
        </w:rPr>
      </w:pPr>
      <w:r w:rsidDel="00000000" w:rsidR="00000000" w:rsidRPr="00000000">
        <w:rPr>
          <w:b w:val="1"/>
          <w:bCs w:val="1"/>
          <w:rtl w:val="0"/>
        </w:rPr>
        <w:t xml:space="preserve">8.4.1. El SITEG previsto podría establecerse como la función de supervisión independiente para el monitoreo y la aplicación de un futuro marco regulatorio sobre actividades de lobby.</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84. Las funciones de supervisión son esenciales para garantizar una regulación eficaz de las actividades de lobby. La función de supervisión se refiere a una o varias instituciones públicas independientes, dedicadas o con competencias más amplias, con los recursos y la facultad adecuados para investigar y aplicar las políticas y regulaciones relativas al lobby y las actividades de influencia, y para monitorear y promover su implementación (OCDE, 2010 [2]). Entre los países que han establecido un registro de actividades de lobby, todos menos cinco (Bélgica, Italia, México, Países Bajos y Letonia) han designado una función de supervisión dentro del gobierno central para supervisar la transparencia en dichas actividades. Si bien la configuración institucional varía considerablemente entre países, la mayoría de estos organismos o funciones supervisan el cumplimiento de las obligaciones de divulgación y si la información presentada es precisa, se presenta de manera oportuna y completa. Los países que carecen de ambas funciones de supervisión designadas suelen operar registros de lobby parciales limitados al poder legislativo, donde los requisitos de registro están vinculados principalmente al acceso a las instalaciones parlamentarias, la divulgación no se verifica sistemáticamente y los mecanismos de cumplimiento son inexistentes o débiles. (OCDE, 2021.</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85. El proyecto de ley sobre cabildeo propuso la creación de un Consejo Nacional para el Registro y la Regulación del Cabildeo, integrado por representantes de instituciones gubernamentales clave, como el Ministerio de la Presidencia, la Dirección General de Ética e Integridad Gubernamental (DIGEIG), la Contraloría General de la República, el Ministerio Público, ambas cámaras del Congreso Nacional, la Corte Suprema de Justicia, la Junta Central Electoral y la Federación Dominicana de Municipios. Este Consejo multiinstitucional tendría a su cargo una amplia gama de responsabilidades, entre ellas la elaboración de reglamentos de implementación, la definición de los procedimientos de registro y los requisitos de documentación, y el establecimiento de mecanismos de supervisión y cumplimiento (validación de los registros de cabilderos, verificación y publicación de información pública en portales de transparencia, investigación de posibles conflictos de intereses, tramitación de denuncias por mala conducta y aplicación de sanciones administrativas, como multas o el inicio de procedimientos legales cuando corresponda). Además, el Consejo también Se le encomendará la tarea de crear conciencia y desarrollar capacidades mediante la capacitación de funcionarios públicos, cabilderos y público en general sobre el marco legal y las obligaciones de cumplimiento (Senado de la República Dominicana, 2020 [17]).</w:t>
      </w:r>
    </w:p>
    <w:p w:rsidR="00000000" w:rsidDel="00000000" w:rsidP="00000000" w:rsidRDefault="00000000" w:rsidRPr="00000000" w14:paraId="00000283">
      <w:pPr>
        <w:ind w:left="0" w:firstLine="0"/>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86. Este mandato educativo y de sensibilización es particularmente significativo. Las partes interesadas entrevistadas para este informe enfatizaron sistemáticamente la falta general de comprensión y participación ciudadana en torno al tema del cabildeo, así como una actitud pasiva o indiferente hacia la influencia en la formulación de políticas. Por lo tanto, fortalecer la conciencia pública y la capacidad de las partes interesadas será esencial para garantizar la implementación efectiva y la legitimidad de cualquier futuro marco de cabildeo en el país.</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87. Sin embargo, si bien el amplio mandato y la representación institucional del Consejo parecen bien intencionados, el modelo de gobernanza propuesto plantea dudas sobre su independencia operativa. Confiar facultades de investigación y cumplimiento a un organismo con estrechos vínculos con los poderes ejecutivo y legislativo puede comprometer su imparcialidad y credibilidad. De acuerdo con los estándares de la OCDE, una supervisión efectiva del cabildeo requiere un organismo funcional y operativamente independiente, libre del control ministerial y capaz de realizar investigaciones imparciales y aplicar sanciones sin interferencia política. Además, verificar las denuncias sobre actividades de lobby y realizar investigaciones requiere conocimientos técnicos y recursos específicos que pueden ser difíciles de conseguir en un organismo multisectorial. Por estas razones, muchos países de la OCDE han optado por establecer instituciones independientes y dedicadas con la responsabilidad exclusiva de implementar, supervisar y hacer cumplir las regulaciones sobre actividades de lobby. En algunos casos, estas responsabilidades se asignan a organismos independientes ya existentes responsables de la ética y la integridad del sector público. La Tabla 8.6 ofrece ejemplos de estos modelos institucionales. La experiencia de estos países sugiere que cuando las funciones relacionadas con la investigación y la imposición de sanciones pueden operar con cierto grado de independencia, los organismos de supervisión están mejor posicionados para supervisar el cumplimiento, hacer cumplir las normas sobre actividades de lobby e influencia, y apoyar una implementación eficaz.</w:t>
      </w:r>
    </w:p>
    <w:p w:rsidR="00000000" w:rsidDel="00000000" w:rsidP="00000000" w:rsidRDefault="00000000" w:rsidRPr="00000000" w14:paraId="00000287">
      <w:pPr>
        <w:ind w:left="0" w:firstLine="0"/>
        <w:rPr/>
      </w:pPr>
      <w:r w:rsidDel="00000000" w:rsidR="00000000" w:rsidRPr="00000000">
        <w:rPr>
          <w:rtl w:val="0"/>
        </w:rPr>
      </w:r>
    </w:p>
    <w:p w:rsidR="00000000" w:rsidDel="00000000" w:rsidP="00000000" w:rsidRDefault="00000000" w:rsidRPr="00000000" w14:paraId="00000288">
      <w:pPr>
        <w:ind w:left="0" w:firstLine="0"/>
        <w:rPr>
          <w:b w:val="1"/>
          <w:bCs w:val="1"/>
          <w:color w:val="3c78d8"/>
        </w:rPr>
      </w:pPr>
      <w:r w:rsidDel="00000000" w:rsidR="00000000" w:rsidRPr="00000000">
        <w:rPr>
          <w:b w:val="1"/>
          <w:bCs w:val="1"/>
          <w:color w:val="3c78d8"/>
          <w:rtl w:val="0"/>
        </w:rPr>
        <w:t xml:space="preserve">Cuadro 8.6. Funciones de supervisión de las actividades de cabildeo en países seleccionados de la OCDE</w:t>
      </w:r>
    </w:p>
    <w:p w:rsidR="00000000" w:rsidDel="00000000" w:rsidP="00000000" w:rsidRDefault="00000000" w:rsidRPr="00000000" w14:paraId="00000289">
      <w:pPr>
        <w:ind w:left="0" w:firstLine="0"/>
        <w:rPr>
          <w:b w:val="1"/>
          <w:bCs w:val="1"/>
          <w:color w:val="3c78d8"/>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2700"/>
        <w:gridCol w:w="5325"/>
        <w:tblGridChange w:id="0">
          <w:tblGrid>
            <w:gridCol w:w="1335"/>
            <w:gridCol w:w="2700"/>
            <w:gridCol w:w="5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Autoridad independiente.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Principales misiones y facultades de ejecución en materia de cabildeo.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Oficina del Comisionado de Cabildeo.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numPr>
                <w:ilvl w:val="0"/>
                <w:numId w:val="18"/>
              </w:numPr>
              <w:spacing w:line="240" w:lineRule="auto"/>
              <w:ind w:left="720" w:hanging="360"/>
              <w:rPr>
                <w:u w:val="none"/>
              </w:rPr>
            </w:pPr>
            <w:r w:rsidDel="00000000" w:rsidR="00000000" w:rsidRPr="00000000">
              <w:rPr>
                <w:rtl w:val="0"/>
              </w:rPr>
              <w:t xml:space="preserve">Administrar el Registro de Cabilderos.</w:t>
            </w:r>
          </w:p>
          <w:p w:rsidR="00000000" w:rsidDel="00000000" w:rsidP="00000000" w:rsidRDefault="00000000" w:rsidRPr="00000000" w14:paraId="00000290">
            <w:pPr>
              <w:widowControl w:val="0"/>
              <w:numPr>
                <w:ilvl w:val="0"/>
                <w:numId w:val="18"/>
              </w:numPr>
              <w:spacing w:line="240" w:lineRule="auto"/>
              <w:ind w:left="720" w:hanging="360"/>
              <w:rPr>
                <w:u w:val="none"/>
              </w:rPr>
            </w:pPr>
            <w:r w:rsidDel="00000000" w:rsidR="00000000" w:rsidRPr="00000000">
              <w:rPr>
                <w:rtl w:val="0"/>
              </w:rPr>
              <w:t xml:space="preserve">Desarrollar y mantener programas educativos para fomentar la concienciación pública sobre los requisitos de la Ley.</w:t>
            </w:r>
          </w:p>
          <w:p w:rsidR="00000000" w:rsidDel="00000000" w:rsidP="00000000" w:rsidRDefault="00000000" w:rsidRPr="00000000" w14:paraId="00000291">
            <w:pPr>
              <w:widowControl w:val="0"/>
              <w:numPr>
                <w:ilvl w:val="0"/>
                <w:numId w:val="18"/>
              </w:numPr>
              <w:spacing w:line="240" w:lineRule="auto"/>
              <w:ind w:left="720" w:hanging="360"/>
              <w:rPr>
                <w:u w:val="none"/>
              </w:rPr>
            </w:pPr>
            <w:r w:rsidDel="00000000" w:rsidR="00000000" w:rsidRPr="00000000">
              <w:rPr>
                <w:rtl w:val="0"/>
              </w:rPr>
              <w:t xml:space="preserve">Realizar revisiones e investigaciones para garantizar el cumplimiento de la Ley y el Código de Conducta de los Cabilderos.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Alta Autoridad para la Transparencia en la Vida Pública (HATVP) de 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numPr>
                <w:ilvl w:val="0"/>
                <w:numId w:val="12"/>
              </w:numPr>
              <w:spacing w:line="240" w:lineRule="auto"/>
              <w:ind w:left="720" w:hanging="360"/>
              <w:rPr>
                <w:u w:val="none"/>
              </w:rPr>
            </w:pPr>
            <w:r w:rsidDel="00000000" w:rsidR="00000000" w:rsidRPr="00000000">
              <w:rPr>
                <w:rtl w:val="0"/>
              </w:rPr>
              <w:t xml:space="preserve">Administrar el registro público de lobistas</w:t>
            </w:r>
          </w:p>
          <w:p w:rsidR="00000000" w:rsidDel="00000000" w:rsidP="00000000" w:rsidRDefault="00000000" w:rsidRPr="00000000" w14:paraId="00000295">
            <w:pPr>
              <w:widowControl w:val="0"/>
              <w:numPr>
                <w:ilvl w:val="0"/>
                <w:numId w:val="12"/>
              </w:numPr>
              <w:spacing w:line="240" w:lineRule="auto"/>
              <w:ind w:left="720" w:hanging="360"/>
              <w:rPr>
                <w:u w:val="none"/>
              </w:rPr>
            </w:pPr>
            <w:r w:rsidDel="00000000" w:rsidR="00000000" w:rsidRPr="00000000">
              <w:rPr>
                <w:rtl w:val="0"/>
              </w:rPr>
              <w:t xml:space="preserve">Detectar e investigar posibles infracciones de las normas sobre lobistas</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Irlanda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Comisión de Normas de Irlanda en la Función 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numPr>
                <w:ilvl w:val="0"/>
                <w:numId w:val="6"/>
              </w:numPr>
              <w:spacing w:line="240" w:lineRule="auto"/>
              <w:ind w:left="720" w:hanging="360"/>
              <w:rPr>
                <w:u w:val="none"/>
              </w:rPr>
            </w:pPr>
            <w:r w:rsidDel="00000000" w:rsidR="00000000" w:rsidRPr="00000000">
              <w:rPr>
                <w:rtl w:val="0"/>
              </w:rPr>
              <w:t xml:space="preserve">Administrar la Ley de Regulación del Lobby</w:t>
            </w:r>
          </w:p>
          <w:p w:rsidR="00000000" w:rsidDel="00000000" w:rsidP="00000000" w:rsidRDefault="00000000" w:rsidRPr="00000000" w14:paraId="0000029A">
            <w:pPr>
              <w:widowControl w:val="0"/>
              <w:numPr>
                <w:ilvl w:val="0"/>
                <w:numId w:val="6"/>
              </w:numPr>
              <w:spacing w:line="240" w:lineRule="auto"/>
              <w:ind w:left="720" w:hanging="360"/>
              <w:rPr>
                <w:u w:val="none"/>
              </w:rPr>
            </w:pPr>
            <w:r w:rsidDel="00000000" w:rsidR="00000000" w:rsidRPr="00000000">
              <w:rPr>
                <w:rtl w:val="0"/>
              </w:rPr>
              <w:t xml:space="preserve">Investigar posibles infracciones de la Ley</w:t>
            </w:r>
          </w:p>
          <w:p w:rsidR="00000000" w:rsidDel="00000000" w:rsidP="00000000" w:rsidRDefault="00000000" w:rsidRPr="00000000" w14:paraId="0000029B">
            <w:pPr>
              <w:widowControl w:val="0"/>
              <w:numPr>
                <w:ilvl w:val="0"/>
                <w:numId w:val="6"/>
              </w:numPr>
              <w:spacing w:line="240" w:lineRule="auto"/>
              <w:ind w:left="720" w:hanging="360"/>
              <w:rPr>
                <w:u w:val="none"/>
              </w:rPr>
            </w:pPr>
            <w:r w:rsidDel="00000000" w:rsidR="00000000" w:rsidRPr="00000000">
              <w:rPr>
                <w:rtl w:val="0"/>
              </w:rPr>
              <w:t xml:space="preserve">Perseguir los delitos</w:t>
            </w:r>
          </w:p>
          <w:p w:rsidR="00000000" w:rsidDel="00000000" w:rsidP="00000000" w:rsidRDefault="00000000" w:rsidRPr="00000000" w14:paraId="0000029C">
            <w:pPr>
              <w:widowControl w:val="0"/>
              <w:numPr>
                <w:ilvl w:val="0"/>
                <w:numId w:val="6"/>
              </w:numPr>
              <w:spacing w:line="240" w:lineRule="auto"/>
              <w:ind w:left="720" w:hanging="360"/>
              <w:rPr>
                <w:u w:val="none"/>
              </w:rPr>
            </w:pPr>
            <w:r w:rsidDel="00000000" w:rsidR="00000000" w:rsidRPr="00000000">
              <w:rPr>
                <w:rtl w:val="0"/>
              </w:rPr>
              <w:t xml:space="preserve">Administrar las notificaciones de pago fijo por la presentación tardía de las declaraciones de lobby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Lituania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Comisión de Ética del Alto Funcionario de Lituania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Administrar la Ley sobre Actividades de Lobby y el Sistema de Información de Procesos Legislativos Transparentes</w:t>
            </w:r>
          </w:p>
          <w:p w:rsidR="00000000" w:rsidDel="00000000" w:rsidP="00000000" w:rsidRDefault="00000000" w:rsidRPr="00000000" w14:paraId="000002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Investigar posibles infracciones de la Ley</w:t>
            </w:r>
          </w:p>
          <w:p w:rsidR="00000000" w:rsidDel="00000000" w:rsidP="00000000" w:rsidRDefault="00000000" w:rsidRPr="00000000" w14:paraId="000002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Brindar apoyo metodológico y recomendaciones a lobistas y funcionarios públicos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Eslovenia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Comisión de Eslovenia para la Prevención de la Corrupción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Administrar el Registro de Lobistas</w:t>
            </w:r>
          </w:p>
          <w:p w:rsidR="00000000" w:rsidDel="00000000" w:rsidP="00000000" w:rsidRDefault="00000000" w:rsidRPr="00000000" w14:paraId="000002A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Aplicar sanciones (multas o prohibiciones de cabildeo)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Reino Unido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Oficina del Registro de Consultores de Cabildeo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numPr>
                <w:ilvl w:val="0"/>
                <w:numId w:val="7"/>
              </w:numPr>
              <w:spacing w:line="240" w:lineRule="auto"/>
              <w:ind w:left="720" w:hanging="360"/>
              <w:rPr>
                <w:u w:val="none"/>
              </w:rPr>
            </w:pPr>
            <w:r w:rsidDel="00000000" w:rsidR="00000000" w:rsidRPr="00000000">
              <w:rPr>
                <w:rtl w:val="0"/>
              </w:rPr>
              <w:t xml:space="preserve">Administrar el Registro Legal de Consultores de Cabildeo</w:t>
            </w:r>
          </w:p>
          <w:p w:rsidR="00000000" w:rsidDel="00000000" w:rsidP="00000000" w:rsidRDefault="00000000" w:rsidRPr="00000000" w14:paraId="000002A9">
            <w:pPr>
              <w:widowControl w:val="0"/>
              <w:numPr>
                <w:ilvl w:val="0"/>
                <w:numId w:val="7"/>
              </w:numPr>
              <w:spacing w:line="240" w:lineRule="auto"/>
              <w:ind w:left="720" w:hanging="360"/>
              <w:rPr>
                <w:u w:val="none"/>
              </w:rPr>
            </w:pPr>
            <w:r w:rsidDel="00000000" w:rsidR="00000000" w:rsidRPr="00000000">
              <w:rPr>
                <w:rtl w:val="0"/>
              </w:rPr>
              <w:t xml:space="preserve">Supervisar el cumplimiento de las disposiciones de la Ley</w:t>
            </w:r>
          </w:p>
          <w:p w:rsidR="00000000" w:rsidDel="00000000" w:rsidP="00000000" w:rsidRDefault="00000000" w:rsidRPr="00000000" w14:paraId="000002AA">
            <w:pPr>
              <w:widowControl w:val="0"/>
              <w:numPr>
                <w:ilvl w:val="0"/>
                <w:numId w:val="7"/>
              </w:numPr>
              <w:spacing w:line="240" w:lineRule="auto"/>
              <w:ind w:left="720" w:hanging="360"/>
              <w:rPr>
                <w:u w:val="none"/>
              </w:rPr>
            </w:pPr>
            <w:r w:rsidDel="00000000" w:rsidR="00000000" w:rsidRPr="00000000">
              <w:rPr>
                <w:rtl w:val="0"/>
              </w:rPr>
              <w:t xml:space="preserve">Investigar información de terceros sobre presuntos incumplimientos</w:t>
            </w:r>
          </w:p>
          <w:p w:rsidR="00000000" w:rsidDel="00000000" w:rsidP="00000000" w:rsidRDefault="00000000" w:rsidRPr="00000000" w14:paraId="000002AB">
            <w:pPr>
              <w:widowControl w:val="0"/>
              <w:numPr>
                <w:ilvl w:val="0"/>
                <w:numId w:val="7"/>
              </w:numPr>
              <w:spacing w:line="240" w:lineRule="auto"/>
              <w:ind w:left="720" w:hanging="360"/>
              <w:rPr>
                <w:u w:val="none"/>
              </w:rPr>
            </w:pPr>
            <w:r w:rsidDel="00000000" w:rsidR="00000000" w:rsidRPr="00000000">
              <w:rPr>
                <w:rtl w:val="0"/>
              </w:rPr>
              <w:t xml:space="preserve">Iniciar investigaciones si se cuestiona la coherencia o exactitud de la información</w:t>
            </w:r>
          </w:p>
          <w:p w:rsidR="00000000" w:rsidDel="00000000" w:rsidP="00000000" w:rsidRDefault="00000000" w:rsidRPr="00000000" w14:paraId="000002AC">
            <w:pPr>
              <w:widowControl w:val="0"/>
              <w:numPr>
                <w:ilvl w:val="0"/>
                <w:numId w:val="7"/>
              </w:numPr>
              <w:spacing w:line="240" w:lineRule="auto"/>
              <w:ind w:left="720" w:hanging="360"/>
              <w:rPr>
                <w:u w:val="none"/>
              </w:rPr>
            </w:pPr>
            <w:r w:rsidDel="00000000" w:rsidR="00000000" w:rsidRPr="00000000">
              <w:rPr>
                <w:rtl w:val="0"/>
              </w:rPr>
              <w:t xml:space="preserve">Emitir Avisos Informativos formales a los registrados y no registrados</w:t>
            </w:r>
          </w:p>
          <w:p w:rsidR="00000000" w:rsidDel="00000000" w:rsidP="00000000" w:rsidRDefault="00000000" w:rsidRPr="00000000" w14:paraId="000002AD">
            <w:pPr>
              <w:widowControl w:val="0"/>
              <w:numPr>
                <w:ilvl w:val="0"/>
                <w:numId w:val="7"/>
              </w:numPr>
              <w:spacing w:line="240" w:lineRule="auto"/>
              <w:ind w:left="720" w:hanging="360"/>
              <w:rPr>
                <w:u w:val="none"/>
              </w:rPr>
            </w:pPr>
            <w:r w:rsidDel="00000000" w:rsidR="00000000" w:rsidRPr="00000000">
              <w:rPr>
                <w:rtl w:val="0"/>
              </w:rPr>
              <w:t xml:space="preserve">Imponer sanciones civiles de hasta 7.500 libras esterlinas, o remitir estas últimas al Fiscal General para su posible procesamiento penal</w:t>
            </w:r>
          </w:p>
          <w:p w:rsidR="00000000" w:rsidDel="00000000" w:rsidP="00000000" w:rsidRDefault="00000000" w:rsidRPr="00000000" w14:paraId="000002AE">
            <w:pPr>
              <w:widowControl w:val="0"/>
              <w:numPr>
                <w:ilvl w:val="0"/>
                <w:numId w:val="7"/>
              </w:numPr>
              <w:spacing w:line="240" w:lineRule="auto"/>
              <w:ind w:left="720" w:hanging="360"/>
              <w:rPr>
                <w:u w:val="none"/>
              </w:rPr>
            </w:pPr>
            <w:r w:rsidDel="00000000" w:rsidR="00000000" w:rsidRPr="00000000">
              <w:rPr>
                <w:rtl w:val="0"/>
              </w:rPr>
              <w:t xml:space="preserve">Imponer sanciones civiles y penales por incumplimiento</w:t>
            </w:r>
          </w:p>
        </w:tc>
      </w:tr>
    </w:tbl>
    <w:p w:rsidR="00000000" w:rsidDel="00000000" w:rsidP="00000000" w:rsidRDefault="00000000" w:rsidRPr="00000000" w14:paraId="000002AF">
      <w:pPr>
        <w:ind w:left="0" w:firstLine="0"/>
        <w:rPr>
          <w:b w:val="1"/>
          <w:bCs w:val="1"/>
          <w:color w:val="3c78d8"/>
        </w:rPr>
      </w:pPr>
      <w:r w:rsidDel="00000000" w:rsidR="00000000" w:rsidRPr="00000000">
        <w:rPr>
          <w:rtl w:val="0"/>
        </w:rPr>
      </w:r>
    </w:p>
    <w:p w:rsidR="00000000" w:rsidDel="00000000" w:rsidP="00000000" w:rsidRDefault="00000000" w:rsidRPr="00000000" w14:paraId="000002B0">
      <w:pPr>
        <w:ind w:left="0" w:firstLine="0"/>
        <w:rPr/>
      </w:pPr>
      <w:r w:rsidDel="00000000" w:rsidR="00000000" w:rsidRPr="00000000">
        <w:rPr>
          <w:rtl w:val="0"/>
        </w:rPr>
        <w:t xml:space="preserve">88. Independientemente de la institución designada para supervisar la implementación de un futuro marco regulatorio sobre cabildeo, es fundamental que la República Dominicana garantice que el organismo de supervisión goce de suficiente independencia, un mandato claramente definido y una capacidad institucional adecuada. De conformidad con la Recomendación de la OCDE sobre Transparencia e Integridad en el Cabildeo y la Influencia, el organismo de supervisión debe estar facultado para i) revisar la integridad, pertinencia y actualidad de la información del registro propuesto; ii) aplicar sanciones justas, objetivas, proporcionadas, oportunas y disuasorias por incumplimiento de los requisitos legales; y iii) brindar capacitación y concienciación sobre los riesgos y las normas del cabildeo y la influencia (OCDE, 2010 [2]). En este sentido, el Proyecto de Ley Orgánica de la Superintendencia de Integridad, Transparencia y Ética Gubernamental (SITEG), que aún se encontraba en debate al momento de redactar este informe (véase también el Capítulo 1), ofrece una solución institucional oportuna y pertinente. El proyecto de ley prevé el establecimiento de la SITEG como un organismo estatal autónomo y descentralizado, dotado de personalidad jurídica e independencia funcional, administrativa y financiera. De aprobarse, este diseño institucional situaría a la SITEG en una posición sólida para actuar como autoridad supervisora ​​de un futuro marco regulatorio del cabildeo, incluyendo responsabilidades de supervisión, orientación y cumplimiento, a la vez que garantiza su protección frente a influencias políticas indebidas.</w:t>
      </w:r>
    </w:p>
    <w:p w:rsidR="00000000" w:rsidDel="00000000" w:rsidP="00000000" w:rsidRDefault="00000000" w:rsidRPr="00000000" w14:paraId="000002B1">
      <w:pPr>
        <w:ind w:left="0" w:firstLine="0"/>
        <w:rPr/>
      </w:pPr>
      <w:r w:rsidDel="00000000" w:rsidR="00000000" w:rsidRPr="00000000">
        <w:rPr>
          <w:rtl w:val="0"/>
        </w:rPr>
      </w:r>
    </w:p>
    <w:p w:rsidR="00000000" w:rsidDel="00000000" w:rsidP="00000000" w:rsidRDefault="00000000" w:rsidRPr="00000000" w14:paraId="000002B2">
      <w:pPr>
        <w:ind w:left="720" w:firstLine="0"/>
        <w:rPr>
          <w:b w:val="1"/>
          <w:bCs w:val="1"/>
        </w:rPr>
      </w:pPr>
      <w:r w:rsidDel="00000000" w:rsidR="00000000" w:rsidRPr="00000000">
        <w:rPr>
          <w:b w:val="1"/>
          <w:bCs w:val="1"/>
          <w:rtl w:val="0"/>
        </w:rPr>
        <w:t xml:space="preserve">8.4.2. El Gobierno dominicano podría garantizar la aplicación de sanciones adecuadas para las violaciones del marco regulatorio del cabildeo.</w:t>
      </w:r>
    </w:p>
    <w:p w:rsidR="00000000" w:rsidDel="00000000" w:rsidP="00000000" w:rsidRDefault="00000000" w:rsidRPr="00000000" w14:paraId="000002B3">
      <w:pPr>
        <w:ind w:left="0" w:firstLine="0"/>
        <w:rPr/>
      </w:pPr>
      <w:r w:rsidDel="00000000" w:rsidR="00000000" w:rsidRPr="00000000">
        <w:rPr>
          <w:rtl w:val="0"/>
        </w:rPr>
      </w:r>
    </w:p>
    <w:p w:rsidR="00000000" w:rsidDel="00000000" w:rsidP="00000000" w:rsidRDefault="00000000" w:rsidRPr="00000000" w14:paraId="000002B4">
      <w:pPr>
        <w:ind w:left="0" w:firstLine="0"/>
        <w:rPr/>
      </w:pPr>
      <w:r w:rsidDel="00000000" w:rsidR="00000000" w:rsidRPr="00000000">
        <w:rPr>
          <w:rtl w:val="0"/>
        </w:rPr>
        <w:t xml:space="preserve">89. Las sanciones deberían constituir un elemento fundamental del marco de cumplimiento, funcionando principalmente como un mecanismo disuasorio y, cuando sea necesario, correctivo. Por lo tanto, un futuro marco regulatorio del cabildeo en la República Dominicana podría establecer un catálogo claro y gradual de delitos, junto con sanciones proporcionadas aplicables tanto a funcionarios públicos como a cabilderos. Las sanciones deberían abarcar el incumplimiento de las obligaciones de transparencia (como la falta de registro como cabildero, la falta de divulgación de la información requerida o la presentación de declaraciones inexactas o incompletas), así como las violaciones de las normas de integridad, incluido el incumplimiento de los códigos de conducta o las normas éticas aplicables a los funcionarios públicos y/o cabilderos.</w:t>
      </w:r>
    </w:p>
    <w:p w:rsidR="00000000" w:rsidDel="00000000" w:rsidP="00000000" w:rsidRDefault="00000000" w:rsidRPr="00000000" w14:paraId="000002B5">
      <w:pPr>
        <w:ind w:left="0" w:firstLine="0"/>
        <w:rPr/>
      </w:pPr>
      <w:r w:rsidDel="00000000" w:rsidR="00000000" w:rsidRPr="00000000">
        <w:rPr>
          <w:rtl w:val="0"/>
        </w:rPr>
      </w:r>
    </w:p>
    <w:p w:rsidR="00000000" w:rsidDel="00000000" w:rsidP="00000000" w:rsidRDefault="00000000" w:rsidRPr="00000000" w14:paraId="000002B6">
      <w:pPr>
        <w:ind w:left="0" w:firstLine="0"/>
        <w:rPr/>
      </w:pPr>
      <w:r w:rsidDel="00000000" w:rsidR="00000000" w:rsidRPr="00000000">
        <w:rPr>
          <w:rtl w:val="0"/>
        </w:rPr>
        <w:t xml:space="preserve">90. Las buenas prácticas internacionales destacan la importancia de aplicar sanciones objetivas, proporcionadas, oportunas y disuasorias. De los 26 países con un marco regulatorio para el lobby, todos menos 7 (excepto Bélgica, Brasil, Argentina, Estonia, Finlandia, Países Bajos y Perú), que representan el 50% de los países de la OCDE y el 13% de los países socios, han definido sanciones por incumplimiento de los estándares de transparencia e integridad en el lobby, proporcionales a la gravedad de la infracción (OCDE, de próxima publicación).</w:t>
      </w:r>
    </w:p>
    <w:p w:rsidR="00000000" w:rsidDel="00000000" w:rsidP="00000000" w:rsidRDefault="00000000" w:rsidRPr="00000000" w14:paraId="000002B7">
      <w:pPr>
        <w:ind w:left="0" w:firstLine="0"/>
        <w:rPr/>
      </w:pPr>
      <w:r w:rsidDel="00000000" w:rsidR="00000000" w:rsidRPr="00000000">
        <w:rPr>
          <w:rtl w:val="0"/>
        </w:rPr>
      </w:r>
    </w:p>
    <w:p w:rsidR="00000000" w:rsidDel="00000000" w:rsidP="00000000" w:rsidRDefault="00000000" w:rsidRPr="00000000" w14:paraId="000002B8">
      <w:pPr>
        <w:ind w:left="0" w:firstLine="0"/>
        <w:rPr/>
      </w:pPr>
      <w:r w:rsidDel="00000000" w:rsidR="00000000" w:rsidRPr="00000000">
        <w:rPr>
          <w:rtl w:val="0"/>
        </w:rPr>
        <w:t xml:space="preserve">91. Muchos de estos países favorecen un sistema gradual de sanciones administrativas para los lobistas, que puede ir desde advertencias y amonestaciones hasta multas monetarias, suspensión temporal o permanente del registro y prohibiciones de participar en actividades de lobby. Algunas jurisdicciones, como Canadá, Francia, Irlanda, Perú y el Reino Unido, también han introducido sanciones penales para infracciones más graves, incluyendo la posibilidad de prisión. Es importante destacar que las sanciones para los lobistas deben dirigirse a las entidades de lobby y no solo a los lobistas individuales. Este enfoque introduce la clara responsabilidad de las entidades hacia sus empleados y sus gerentes. También puede alentar a las entidades a adoptar medidas de cumplimiento interno. normas, elevando así el grado de profesionalismo con el que deben llevarse a cabo las actividades de lobby (OCDE, 2021).</w:t>
      </w:r>
    </w:p>
    <w:p w:rsidR="00000000" w:rsidDel="00000000" w:rsidP="00000000" w:rsidRDefault="00000000" w:rsidRPr="00000000" w14:paraId="000002B9">
      <w:pPr>
        <w:ind w:left="720" w:firstLine="0"/>
        <w:rPr>
          <w:b w:val="1"/>
          <w:bCs w:val="1"/>
        </w:rPr>
      </w:pPr>
      <w:r w:rsidDel="00000000" w:rsidR="00000000" w:rsidRPr="00000000">
        <w:rPr>
          <w:rtl w:val="0"/>
        </w:rPr>
      </w:r>
    </w:p>
    <w:p w:rsidR="00000000" w:rsidDel="00000000" w:rsidP="00000000" w:rsidRDefault="00000000" w:rsidRPr="00000000" w14:paraId="000002BA">
      <w:pPr>
        <w:ind w:left="720" w:firstLine="0"/>
        <w:rPr>
          <w:b w:val="1"/>
          <w:bCs w:val="1"/>
        </w:rPr>
      </w:pPr>
      <w:r w:rsidDel="00000000" w:rsidR="00000000" w:rsidRPr="00000000">
        <w:rPr>
          <w:b w:val="1"/>
          <w:bCs w:val="1"/>
          <w:rtl w:val="0"/>
        </w:rPr>
        <w:t xml:space="preserve">8.4.3. El Gobierno dominicano podría promover, a través de la DIGEIG (SITEG), la participación de las partes interesadas en el diseño, la implementación y la revisión del marco regulatorio del cabildeo.</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92. Involucrar a las partes interesadas en el diseño de la normativa para el cabildeo es esencial para garantizar que el marco refleje la realidad práctica de las actividades de cabildeo y obtenga un amplio apoyo. La participación temprana contribuye a generar comprensión, legitimidad y aceptación por parte de los afectados, lo que aumenta la probabilidad de cumplimiento y una implementación efectiva. También permite a los reguladores identificar posibles desafíos y diseñar normas y procedimientos viables en la práctica.</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93. Una vez que la normativa para el cabildeo esté establecida y en funcionamiento, la revisión periódica, en consulta con las partes interesadas pertinentes, del funcionamiento y el impacto de un marco legal en el cabildeo es crucial para garantizar la alineación con las prácticas cambiantes de cabildeo e influencia, realizar las mejoras necesarias y buscar la convergencia hacia las mejores prácticas (OCDE, 2010 [2]). La práctica de la OCDE demuestra que involucrar a las partes interesadas relevantes en el proceso de revisión de las normas y directrices relacionadas con el cabildeo es clave para generar sentido de pertenencia y garantizar un entendimiento común de los requisitos y las conductas esperadas tanto para los cabilderos como para los funcionarios públicos (OCDE, 2021).</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94. Por lo tanto, el Gobierno dominicano podría colaborar con las partes interesadas y la ciudadanía para comunicarse e involucrarlos no solo durante todo el proceso de redacción, sino también en su implementación y revisiones posteriores (incluidas, por ejemplo, la redacción y revisión de códigos de conducta o directrices), siguiendo los ejemplos de Irlanda y Canadá (Recuadro 8.9).</w:t>
      </w:r>
    </w:p>
    <w:p w:rsidR="00000000" w:rsidDel="00000000" w:rsidP="00000000" w:rsidRDefault="00000000" w:rsidRPr="00000000" w14:paraId="000002C1">
      <w:pPr>
        <w:ind w:left="0" w:firstLine="0"/>
        <w:rPr/>
      </w:pPr>
      <w:r w:rsidDel="00000000" w:rsidR="00000000" w:rsidRPr="00000000">
        <w:rPr>
          <w:rtl w:val="0"/>
        </w:rPr>
      </w:r>
    </w:p>
    <w:p w:rsidR="00000000" w:rsidDel="00000000" w:rsidP="00000000" w:rsidRDefault="00000000" w:rsidRPr="00000000" w14:paraId="000002C2">
      <w:pPr>
        <w:ind w:left="0" w:firstLine="0"/>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pPr>
            <w:r w:rsidDel="00000000" w:rsidR="00000000" w:rsidRPr="00000000">
              <w:rPr>
                <w:b w:val="1"/>
                <w:bCs w:val="1"/>
                <w:color w:val="3c78d8"/>
                <w:rtl w:val="0"/>
              </w:rPr>
              <w:t xml:space="preserve">Recuadro 8. 9. Consultas sobre los procesos de redacción y revisión de las regulaciones de cabildeo en Irlanda y Canadá</w:t>
            </w:r>
            <w:r w:rsidDel="00000000" w:rsidR="00000000" w:rsidRPr="00000000">
              <w:rPr>
                <w:rtl w:val="0"/>
              </w:rPr>
            </w:r>
          </w:p>
          <w:p w:rsidR="00000000" w:rsidDel="00000000" w:rsidP="00000000" w:rsidRDefault="00000000" w:rsidRPr="00000000" w14:paraId="000002C4">
            <w:pPr>
              <w:widowControl w:val="0"/>
              <w:spacing w:line="240" w:lineRule="auto"/>
              <w:rPr/>
            </w:pPr>
            <w:r w:rsidDel="00000000" w:rsidR="00000000" w:rsidRPr="00000000">
              <w:rPr>
                <w:rtl w:val="0"/>
              </w:rPr>
            </w:r>
          </w:p>
          <w:p w:rsidR="00000000" w:rsidDel="00000000" w:rsidP="00000000" w:rsidRDefault="00000000" w:rsidRPr="00000000" w14:paraId="000002C5">
            <w:pPr>
              <w:widowControl w:val="0"/>
              <w:spacing w:line="240" w:lineRule="auto"/>
              <w:rPr>
                <w:b w:val="1"/>
                <w:bCs w:val="1"/>
              </w:rPr>
            </w:pPr>
            <w:r w:rsidDel="00000000" w:rsidR="00000000" w:rsidRPr="00000000">
              <w:rPr>
                <w:b w:val="1"/>
                <w:bCs w:val="1"/>
                <w:rtl w:val="0"/>
              </w:rPr>
              <w:t xml:space="preserve">Apoyo a un cambio cultural hacia la regulación del cabildeo en Irlanda mediante consultas públicas</w:t>
            </w:r>
          </w:p>
          <w:p w:rsidR="00000000" w:rsidDel="00000000" w:rsidP="00000000" w:rsidRDefault="00000000" w:rsidRPr="00000000" w14:paraId="000002C6">
            <w:pPr>
              <w:widowControl w:val="0"/>
              <w:spacing w:line="240" w:lineRule="auto"/>
              <w:rPr/>
            </w:pPr>
            <w:r w:rsidDel="00000000" w:rsidR="00000000" w:rsidRPr="00000000">
              <w:rPr>
                <w:rtl w:val="0"/>
              </w:rPr>
            </w:r>
          </w:p>
          <w:p w:rsidR="00000000" w:rsidDel="00000000" w:rsidP="00000000" w:rsidRDefault="00000000" w:rsidRPr="00000000" w14:paraId="000002C7">
            <w:pPr>
              <w:widowControl w:val="0"/>
              <w:spacing w:line="240" w:lineRule="auto"/>
              <w:rPr/>
            </w:pPr>
            <w:r w:rsidDel="00000000" w:rsidR="00000000" w:rsidRPr="00000000">
              <w:rPr>
                <w:rtl w:val="0"/>
              </w:rPr>
              <w:t xml:space="preserve">En Irlanda, la Comisión de Normas en la Función Pública estableció un grupo asesor de partes interesadas, tanto del sector público como del privado, para ayudar a garantizar una planificación e implementación efectivas de la Ley de Regulación del Cabildeo. Este foro ha servido para orientar las comunicaciones, los productos informativos y el desarrollo del propio registro en línea.</w:t>
            </w:r>
          </w:p>
          <w:p w:rsidR="00000000" w:rsidDel="00000000" w:rsidP="00000000" w:rsidRDefault="00000000" w:rsidRPr="00000000" w14:paraId="000002C8">
            <w:pPr>
              <w:widowControl w:val="0"/>
              <w:spacing w:line="240" w:lineRule="auto"/>
              <w:rPr/>
            </w:pPr>
            <w:r w:rsidDel="00000000" w:rsidR="00000000" w:rsidRPr="00000000">
              <w:rPr>
                <w:rtl w:val="0"/>
              </w:rPr>
            </w:r>
          </w:p>
          <w:p w:rsidR="00000000" w:rsidDel="00000000" w:rsidP="00000000" w:rsidRDefault="00000000" w:rsidRPr="00000000" w14:paraId="000002C9">
            <w:pPr>
              <w:widowControl w:val="0"/>
              <w:spacing w:line="240" w:lineRule="auto"/>
              <w:rPr>
                <w:b w:val="1"/>
                <w:bCs w:val="1"/>
              </w:rPr>
            </w:pPr>
            <w:r w:rsidDel="00000000" w:rsidR="00000000" w:rsidRPr="00000000">
              <w:rPr>
                <w:b w:val="1"/>
                <w:bCs w:val="1"/>
                <w:rtl w:val="0"/>
              </w:rPr>
              <w:t xml:space="preserve">Consulta sobre futuros cambios al Código de Conducta de los Cabilderos en Canadá</w:t>
            </w:r>
          </w:p>
          <w:p w:rsidR="00000000" w:rsidDel="00000000" w:rsidP="00000000" w:rsidRDefault="00000000" w:rsidRPr="00000000" w14:paraId="000002CA">
            <w:pPr>
              <w:widowControl w:val="0"/>
              <w:spacing w:line="240" w:lineRule="auto"/>
              <w:rPr/>
            </w:pPr>
            <w:r w:rsidDel="00000000" w:rsidR="00000000" w:rsidRPr="00000000">
              <w:rPr>
                <w:rtl w:val="0"/>
              </w:rPr>
            </w:r>
          </w:p>
          <w:p w:rsidR="00000000" w:rsidDel="00000000" w:rsidP="00000000" w:rsidRDefault="00000000" w:rsidRPr="00000000" w14:paraId="000002CB">
            <w:pPr>
              <w:widowControl w:val="0"/>
              <w:spacing w:line="240" w:lineRule="auto"/>
              <w:rPr/>
            </w:pPr>
            <w:r w:rsidDel="00000000" w:rsidR="00000000" w:rsidRPr="00000000">
              <w:rPr>
                <w:rtl w:val="0"/>
              </w:rPr>
              <w:t xml:space="preserve">En Canadá, la Oficina del Comisionado de Cabildeo lanzó una serie de consultas en 2021 y 2022 para recabar opiniones sobre la mejora y la aclaración de las normas de conducta de los cabilderos para actualizar el Código de Conducta de los Cabilderos.</w:t>
            </w:r>
          </w:p>
          <w:p w:rsidR="00000000" w:rsidDel="00000000" w:rsidP="00000000" w:rsidRDefault="00000000" w:rsidRPr="00000000" w14:paraId="000002CC">
            <w:pPr>
              <w:widowControl w:val="0"/>
              <w:spacing w:line="240" w:lineRule="auto"/>
              <w:rPr/>
            </w:pPr>
            <w:r w:rsidDel="00000000" w:rsidR="00000000" w:rsidRPr="00000000">
              <w:rPr>
                <w:rtl w:val="0"/>
              </w:rPr>
            </w:r>
          </w:p>
          <w:p w:rsidR="00000000" w:rsidDel="00000000" w:rsidP="00000000" w:rsidRDefault="00000000" w:rsidRPr="00000000" w14:paraId="000002CD">
            <w:pPr>
              <w:widowControl w:val="0"/>
              <w:spacing w:line="240" w:lineRule="auto"/>
              <w:rPr/>
            </w:pPr>
            <w:r w:rsidDel="00000000" w:rsidR="00000000" w:rsidRPr="00000000">
              <w:rPr>
                <w:rtl w:val="0"/>
              </w:rPr>
              <w:t xml:space="preserve">A finales de 2020 se realizó una consulta inicial para recabar las opiniones y perspectivas de las partes interesadas en relación con el Código de Conducta de los Cabilderos vigente. Una segunda consulta (del 15 de diciembre de 2021 al 18 de febrero de 2022) tuvo como objetivo recabar opiniones sobre un borrador preliminar del Código revisado. Una tercera consulta final sobre las modificaciones del Código se llevó a cabo entre mayo y junio de 2022. El nuevo Código se publicó en la Gaceta Oficial de Canadá y entró en vigor el 1 de julio de 2023.</w:t>
            </w:r>
          </w:p>
          <w:p w:rsidR="00000000" w:rsidDel="00000000" w:rsidP="00000000" w:rsidRDefault="00000000" w:rsidRPr="00000000" w14:paraId="000002CE">
            <w:pPr>
              <w:widowControl w:val="0"/>
              <w:spacing w:line="240" w:lineRule="auto"/>
              <w:rPr/>
            </w:pPr>
            <w:r w:rsidDel="00000000" w:rsidR="00000000" w:rsidRPr="00000000">
              <w:rPr>
                <w:rtl w:val="0"/>
              </w:rPr>
            </w:r>
          </w:p>
          <w:p w:rsidR="00000000" w:rsidDel="00000000" w:rsidP="00000000" w:rsidRDefault="00000000" w:rsidRPr="00000000" w14:paraId="000002CF">
            <w:pPr>
              <w:widowControl w:val="0"/>
              <w:spacing w:line="240" w:lineRule="auto"/>
              <w:rPr>
                <w:sz w:val="18"/>
                <w:szCs w:val="18"/>
              </w:rPr>
            </w:pPr>
            <w:r w:rsidDel="00000000" w:rsidR="00000000" w:rsidRPr="00000000">
              <w:rPr>
                <w:sz w:val="18"/>
                <w:szCs w:val="18"/>
                <w:rtl w:val="0"/>
              </w:rPr>
              <w:t xml:space="preserve">Fuente: (OCDE, 2021 Oficina del Comisionado de Cabildeo de Canadá, 2023)</w:t>
            </w:r>
          </w:p>
        </w:tc>
      </w:tr>
    </w:tbl>
    <w:p w:rsidR="00000000" w:rsidDel="00000000" w:rsidP="00000000" w:rsidRDefault="00000000" w:rsidRPr="00000000" w14:paraId="000002D0">
      <w:pPr>
        <w:ind w:left="0" w:firstLine="0"/>
        <w:rPr/>
      </w:pPr>
      <w:r w:rsidDel="00000000" w:rsidR="00000000" w:rsidRPr="00000000">
        <w:rPr>
          <w:rtl w:val="0"/>
        </w:rPr>
      </w:r>
    </w:p>
    <w:p w:rsidR="00000000" w:rsidDel="00000000" w:rsidP="00000000" w:rsidRDefault="00000000" w:rsidRPr="00000000" w14:paraId="000002D1">
      <w:pPr>
        <w:ind w:left="0" w:firstLine="0"/>
        <w:rPr/>
      </w:pPr>
      <w:r w:rsidDel="00000000" w:rsidR="00000000" w:rsidRPr="00000000">
        <w:rPr>
          <w:rtl w:val="0"/>
        </w:rPr>
        <w:t xml:space="preserve">95. Por último, la revisión periódica del marco regulatorio del lobby podría integrarse en el marco legal y encomendarse al Ministerio responsable de la Ley. El ejemplo de Irlanda se presenta en el Recuadro 8.10.</w:t>
      </w:r>
    </w:p>
    <w:p w:rsidR="00000000" w:rsidDel="00000000" w:rsidP="00000000" w:rsidRDefault="00000000" w:rsidRPr="00000000" w14:paraId="000002D2">
      <w:pPr>
        <w:ind w:left="0" w:firstLine="0"/>
        <w:rPr/>
      </w:pPr>
      <w:r w:rsidDel="00000000" w:rsidR="00000000" w:rsidRPr="00000000">
        <w:rPr>
          <w:rtl w:val="0"/>
        </w:rPr>
      </w:r>
    </w:p>
    <w:p w:rsidR="00000000" w:rsidDel="00000000" w:rsidP="00000000" w:rsidRDefault="00000000" w:rsidRPr="00000000" w14:paraId="000002D3">
      <w:pPr>
        <w:ind w:left="0" w:firstLine="0"/>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color w:val="3c78d8"/>
                <w:rtl w:val="0"/>
              </w:rPr>
              <w:t xml:space="preserve">Recuadro 8.10. Revisión de la Ley de Lobby en Irlanda</w:t>
            </w: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artículo 2 de la Ley de Lobby prevé revisiones periódicas de su funcionamiento. La primera revisión se llevó a cabo en 2016. El informe tiene en cuenta las aportaciones de las principales partes interesadas, incluyendo a las personas que realizan actividades de lobby y a los organismos que las representan. El gobierno no formuló recomendaciones para modificar la Ley de Lobby. Las revisiones posteriores deben realizarse cada tres años.</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primer informe constató un alto nivel de cumplimiento de los requisitos legislativos. Los lobistas destacaron la necesidad de mayor formación, orientación y asistencia, lo que llevó a la Comisión de Normas en la Función Pública a revisar sus actividades de comunicación y la orientación a los lobistas.</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su informe para la primera revisión del funcionamiento de la Ley, la Comisión recomendó que cualquier incumplimiento de las disposiciones legales sobre el período de incompatibilidad se tipifique como delito en virtud de la Ley. También señaló la falta de facultades para hacer cumplir las disposiciones de la Ley sobre la situación posterior al empleo o para imponer sanciones a quienes incumplan dichas disposiciones.</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Código de Conducta para quienes realizan actividades de cabildeo, que entró en vigor el 1 de enero de 2019, también se revisa cada tres años.</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Fuente: OCDE, 2021</w:t>
            </w:r>
          </w:p>
        </w:tc>
      </w:tr>
    </w:tbl>
    <w:p w:rsidR="00000000" w:rsidDel="00000000" w:rsidP="00000000" w:rsidRDefault="00000000" w:rsidRPr="00000000" w14:paraId="000002DE">
      <w:pPr>
        <w:ind w:left="0" w:firstLine="0"/>
        <w:rPr/>
      </w:pPr>
      <w:r w:rsidDel="00000000" w:rsidR="00000000" w:rsidRPr="00000000">
        <w:rPr>
          <w:rtl w:val="0"/>
        </w:rPr>
      </w:r>
    </w:p>
    <w:p w:rsidR="00000000" w:rsidDel="00000000" w:rsidP="00000000" w:rsidRDefault="00000000" w:rsidRPr="00000000" w14:paraId="000002DF">
      <w:pPr>
        <w:ind w:left="0" w:firstLine="0"/>
        <w:rPr>
          <w:b w:val="1"/>
          <w:bCs w:val="1"/>
          <w:color w:val="3c78d8"/>
        </w:rPr>
      </w:pPr>
      <w:r w:rsidDel="00000000" w:rsidR="00000000" w:rsidRPr="00000000">
        <w:rPr>
          <w:b w:val="1"/>
          <w:bCs w:val="1"/>
          <w:color w:val="3c78d8"/>
          <w:rtl w:val="0"/>
        </w:rPr>
        <w:t xml:space="preserve">8.5. Propuestas de acción</w:t>
      </w:r>
    </w:p>
    <w:p w:rsidR="00000000" w:rsidDel="00000000" w:rsidP="00000000" w:rsidRDefault="00000000" w:rsidRPr="00000000" w14:paraId="000002E0">
      <w:pPr>
        <w:ind w:left="0" w:firstLine="0"/>
        <w:rPr>
          <w:b w:val="1"/>
          <w:bCs w:val="1"/>
          <w:color w:val="3c78d8"/>
        </w:rPr>
      </w:pPr>
      <w:r w:rsidDel="00000000" w:rsidR="00000000" w:rsidRPr="00000000">
        <w:rPr>
          <w:rtl w:val="0"/>
        </w:rPr>
      </w:r>
    </w:p>
    <w:p w:rsidR="00000000" w:rsidDel="00000000" w:rsidP="00000000" w:rsidRDefault="00000000" w:rsidRPr="00000000" w14:paraId="000002E1">
      <w:pPr>
        <w:ind w:left="0" w:firstLine="0"/>
        <w:rPr>
          <w:b w:val="1"/>
          <w:bCs w:val="1"/>
          <w:color w:val="3c78d8"/>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Construcción de un marco coherente para la transparencia e integridad en las actividades de cabildeo e influencia dirigidas a influir en los procesos de toma de decisiones gubernamentales.</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E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El Gobierno dominicano podría adoptar un marco regulatorio para el cabildeo en la legislación primaria que especifique claramente las definiciones y los requisitos de transparencia para las actividades de cabildeo.</w:t>
            </w:r>
          </w:p>
          <w:p w:rsidR="00000000" w:rsidDel="00000000" w:rsidP="00000000" w:rsidRDefault="00000000" w:rsidRPr="00000000" w14:paraId="000002E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El marco regulatorio para el cabildeo propuesto podría mejorar la transparencia mediante una serie de medidas complementarias, incluyendo un registro público de cabilderos, la divulgación de las agendas de las reuniones de los funcionarios y el establecimiento de un registro obligatorio para la toma de decisiones.</w:t>
            </w:r>
          </w:p>
          <w:p w:rsidR="00000000" w:rsidDel="00000000" w:rsidP="00000000" w:rsidRDefault="00000000" w:rsidRPr="00000000" w14:paraId="000002E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Se podrían establecer normas de transparencia e integridad para los grupos asesores y de expertos del gobierno, incluyendo las actividades de cabildeo dirigidas a estos grupos.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Establecer un marco de integridad pública adaptado a los riesgos del cabildeo y las actividades de influencia, tanto para cabilderos como para funcionarios públicos.</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E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La República Dominicana podría desarrollar normas, estándares y directrices específicos para los funcionarios públicos en sus interacciones con cabilderos.</w:t>
            </w:r>
          </w:p>
          <w:p w:rsidR="00000000" w:rsidDel="00000000" w:rsidP="00000000" w:rsidRDefault="00000000" w:rsidRPr="00000000" w14:paraId="000002E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La República Dominicana podría considerar el desarrollo y la adopción de estándares de conducta que se apliquen a todos los cabilderos.</w:t>
            </w:r>
          </w:p>
          <w:p w:rsidR="00000000" w:rsidDel="00000000" w:rsidP="00000000" w:rsidRDefault="00000000" w:rsidRPr="00000000" w14:paraId="000002E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La República Dominicana podría adoptar incentivos específicos para fomentar una participación más responsable y transparente en la formulación de políticas por parte de empresas y asociaciones empresariales.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Garantizar el cumplimiento y la revisión efectivos del marco regulatorio del cabildeo.</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F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El SITEG previsto podría establecerse como la función de supervisión independiente para el monitoreo y la aplicación de un futuro marco regulatorio del cabildeo.</w:t>
            </w:r>
          </w:p>
          <w:p w:rsidR="00000000" w:rsidDel="00000000" w:rsidP="00000000" w:rsidRDefault="00000000" w:rsidRPr="00000000" w14:paraId="000002F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El Gobierno dominicano podría garantizar que existan sanciones adecuadas para las violaciones del marco regulatorio del cabildeo.</w:t>
            </w:r>
          </w:p>
          <w:p w:rsidR="00000000" w:rsidDel="00000000" w:rsidP="00000000" w:rsidRDefault="00000000" w:rsidRPr="00000000" w14:paraId="000002F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El Gobierno dominicano podría promover, a través de la DIGEIG (SITEG), la participación de las partes interesadas en el diseño, la implementación y la revisión del marco regulatorio del cabildeo.</w:t>
            </w:r>
          </w:p>
        </w:tc>
      </w:tr>
    </w:tbl>
    <w:p w:rsidR="00000000" w:rsidDel="00000000" w:rsidP="00000000" w:rsidRDefault="00000000" w:rsidRPr="00000000" w14:paraId="000002F3">
      <w:pPr>
        <w:ind w:left="0" w:firstLine="0"/>
        <w:rPr/>
      </w:pPr>
      <w:r w:rsidDel="00000000" w:rsidR="00000000" w:rsidRPr="00000000">
        <w:rPr>
          <w:rtl w:val="0"/>
        </w:rPr>
      </w:r>
    </w:p>
    <w:p w:rsidR="00000000" w:rsidDel="00000000" w:rsidP="00000000" w:rsidRDefault="00000000" w:rsidRPr="00000000" w14:paraId="000002F4">
      <w:pPr>
        <w:ind w:left="0" w:firstLine="0"/>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Referencias</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Bertelsmann Stiftung (2024), Informe de país de República Dominicana 2024, https://bti-</w:t>
      </w:r>
    </w:p>
    <w:p w:rsidR="00000000" w:rsidDel="00000000" w:rsidP="00000000" w:rsidRDefault="00000000" w:rsidRPr="00000000" w14:paraId="000002F8">
      <w:pPr>
        <w:rPr/>
      </w:pPr>
      <w:r w:rsidDel="00000000" w:rsidR="00000000" w:rsidRPr="00000000">
        <w:rPr>
          <w:rtl w:val="0"/>
        </w:rPr>
        <w:t xml:space="preserve">project.org/fileadmin/api/content/en/downloads/reports/country_report_2024_DOM.pdf.</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[8]</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CONEP (2022), Código de Ética y Conducta del Consejo Nacional de la Empresa Privada,</w:t>
      </w:r>
    </w:p>
    <w:p w:rsidR="00000000" w:rsidDel="00000000" w:rsidP="00000000" w:rsidRDefault="00000000" w:rsidRPr="00000000" w14:paraId="000002FD">
      <w:pPr>
        <w:rPr/>
      </w:pPr>
      <w:r w:rsidDel="00000000" w:rsidR="00000000" w:rsidRPr="00000000">
        <w:rPr>
          <w:rtl w:val="0"/>
        </w:rPr>
        <w:t xml:space="preserve">https://storage.googleapis.com/appfactory-</w:t>
      </w:r>
    </w:p>
    <w:p w:rsidR="00000000" w:rsidDel="00000000" w:rsidP="00000000" w:rsidRDefault="00000000" w:rsidRPr="00000000" w14:paraId="000002FE">
      <w:pPr>
        <w:rPr/>
      </w:pPr>
      <w:r w:rsidDel="00000000" w:rsidR="00000000" w:rsidRPr="00000000">
        <w:rPr>
          <w:rtl w:val="0"/>
        </w:rPr>
        <w:t xml:space="preserve">conep_cloudbuild/codigo_de_etica_y_conducta_conep_a45e08dc80/codigo_de_etica_y_cond</w:t>
      </w:r>
    </w:p>
    <w:p w:rsidR="00000000" w:rsidDel="00000000" w:rsidP="00000000" w:rsidRDefault="00000000" w:rsidRPr="00000000" w14:paraId="000002FF">
      <w:pPr>
        <w:rPr/>
      </w:pPr>
      <w:r w:rsidDel="00000000" w:rsidR="00000000" w:rsidRPr="00000000">
        <w:rPr>
          <w:rtl w:val="0"/>
        </w:rPr>
        <w:t xml:space="preserve">ucta_conep_a45e08dc80.pdf?X-Goog-Algorithm=GOOG4-RSA-SHA256&amp;amp;X-Goog-</w:t>
      </w:r>
    </w:p>
    <w:p w:rsidR="00000000" w:rsidDel="00000000" w:rsidP="00000000" w:rsidRDefault="00000000" w:rsidRPr="00000000" w14:paraId="00000300">
      <w:pPr>
        <w:rPr/>
      </w:pPr>
      <w:r w:rsidDel="00000000" w:rsidR="00000000" w:rsidRPr="00000000">
        <w:rPr>
          <w:rtl w:val="0"/>
        </w:rPr>
        <w:t xml:space="preserve">Credencial=.</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[24]</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Dellis, K. y D. Sondermann (2017), “Lobbying in Europe: New firm-level evidencia”, European</w:t>
      </w:r>
    </w:p>
    <w:p w:rsidR="00000000" w:rsidDel="00000000" w:rsidP="00000000" w:rsidRDefault="00000000" w:rsidRPr="00000000" w14:paraId="00000305">
      <w:pPr>
        <w:rPr/>
      </w:pPr>
      <w:r w:rsidDel="00000000" w:rsidR="00000000" w:rsidRPr="00000000">
        <w:rPr>
          <w:rtl w:val="0"/>
        </w:rPr>
        <w:t xml:space="preserve">Banco Central, Serie de documentos de trabajo, vol.2071.</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[4]</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Freedom House (2024), Informe de país de República Dominicana,</w:t>
      </w:r>
    </w:p>
    <w:p w:rsidR="00000000" w:rsidDel="00000000" w:rsidP="00000000" w:rsidRDefault="00000000" w:rsidRPr="00000000" w14:paraId="0000030A">
      <w:pPr>
        <w:rPr/>
      </w:pPr>
      <w:r w:rsidDel="00000000" w:rsidR="00000000" w:rsidRPr="00000000">
        <w:rPr>
          <w:rtl w:val="0"/>
        </w:rPr>
        <w:t xml:space="preserve">https://freedomhouse.org/country/dominican-republic/freedom-world/2024.</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[9]</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Gobierno Dominicano (2021), Foro Multifactor para el Gobierno Abierto de la República</w:t>
      </w:r>
    </w:p>
    <w:p w:rsidR="00000000" w:rsidDel="00000000" w:rsidP="00000000" w:rsidRDefault="00000000" w:rsidRPr="00000000" w14:paraId="0000030F">
      <w:pPr>
        <w:rPr/>
      </w:pPr>
      <w:r w:rsidDel="00000000" w:rsidR="00000000" w:rsidRPr="00000000">
        <w:rPr>
          <w:rtl w:val="0"/>
        </w:rPr>
        <w:t xml:space="preserve">Dominicana, https://gobiernoabierto.gob.do/foro-multiactor/.</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[11]</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HATVP (2022), Extension du répertoire des représentants d’intérêts: ce qui change au 1er juillet</w:t>
      </w:r>
    </w:p>
    <w:p w:rsidR="00000000" w:rsidDel="00000000" w:rsidP="00000000" w:rsidRDefault="00000000" w:rsidRPr="00000000" w14:paraId="00000314">
      <w:pPr>
        <w:rPr/>
      </w:pPr>
      <w:r w:rsidDel="00000000" w:rsidR="00000000" w:rsidRPr="00000000">
        <w:rPr>
          <w:rtl w:val="0"/>
        </w:rPr>
        <w:t xml:space="preserve">2022, https://www.hatvp.fr/presse/extension-du-repertoire-des-representants-dinterets-ce-qui-</w:t>
      </w:r>
    </w:p>
    <w:p w:rsidR="00000000" w:rsidDel="00000000" w:rsidP="00000000" w:rsidRDefault="00000000" w:rsidRPr="00000000" w14:paraId="00000315">
      <w:pPr>
        <w:rPr/>
      </w:pPr>
      <w:r w:rsidDel="00000000" w:rsidR="00000000" w:rsidRPr="00000000">
        <w:rPr>
          <w:rtl w:val="0"/>
        </w:rPr>
        <w:t xml:space="preserve">cambio-au-1er-juillet-2022/.</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[18]</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Lístin Diario (2023), El “hombre del maletín”, https://listindiario.com/editorial/20230424/hombre-</w:t>
      </w:r>
    </w:p>
    <w:p w:rsidR="00000000" w:rsidDel="00000000" w:rsidP="00000000" w:rsidRDefault="00000000" w:rsidRPr="00000000" w14:paraId="0000031A">
      <w:pPr>
        <w:rPr/>
      </w:pPr>
      <w:r w:rsidDel="00000000" w:rsidR="00000000" w:rsidRPr="00000000">
        <w:rPr>
          <w:rtl w:val="0"/>
        </w:rPr>
        <w:t xml:space="preserve">maletin_749593.html.</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[12]</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OCDE (2025), Indicadores de Integridad Pública de la OCDE: Hoja informativa sobre República Dominicana,</w:t>
      </w:r>
    </w:p>
    <w:p w:rsidR="00000000" w:rsidDel="00000000" w:rsidP="00000000" w:rsidRDefault="00000000" w:rsidRPr="00000000" w14:paraId="0000031F">
      <w:pPr>
        <w:rPr/>
      </w:pPr>
      <w:r w:rsidDel="00000000" w:rsidR="00000000" w:rsidRPr="00000000">
        <w:rPr>
          <w:rtl w:val="0"/>
        </w:rPr>
        <w:t xml:space="preserve">https://www.oecd.org/content/dam/oecd/en/topics/policy-sub-issues/public-integrity/country-</w:t>
      </w:r>
    </w:p>
    <w:p w:rsidR="00000000" w:rsidDel="00000000" w:rsidP="00000000" w:rsidRDefault="00000000" w:rsidRPr="00000000" w14:paraId="00000320">
      <w:pPr>
        <w:rPr/>
      </w:pPr>
      <w:r w:rsidDel="00000000" w:rsidR="00000000" w:rsidRPr="00000000">
        <w:rPr>
          <w:rtl w:val="0"/>
        </w:rPr>
        <w:t xml:space="preserve">fact-sheets/OECD-Public-Integrity-Indicators-Dominican-Republic-Country-Fact-Sheet-</w:t>
      </w:r>
    </w:p>
    <w:p w:rsidR="00000000" w:rsidDel="00000000" w:rsidP="00000000" w:rsidRDefault="00000000" w:rsidRPr="00000000" w14:paraId="00000321">
      <w:pPr>
        <w:rPr/>
      </w:pPr>
      <w:r w:rsidDel="00000000" w:rsidR="00000000" w:rsidRPr="00000000">
        <w:rPr>
          <w:rtl w:val="0"/>
        </w:rPr>
        <w:t xml:space="preserve">2025.pdf?utm_source=chatgpt.c.</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[13]</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OCDE (2025), Indicadores de Regulación del Mercado de Productos. Conclusiones clave de la actualización 2023-2024 de los Indicadores de Regulación del Mercado de Productos de la OCDE, https://www.oecd.org/en/topics/sub-issues/product-market-regulation.html.</w:t>
      </w:r>
    </w:p>
    <w:p w:rsidR="00000000" w:rsidDel="00000000" w:rsidP="00000000" w:rsidRDefault="00000000" w:rsidRPr="00000000" w14:paraId="00000328">
      <w:pPr>
        <w:rPr/>
      </w:pPr>
      <w:r w:rsidDel="00000000" w:rsidR="00000000" w:rsidRPr="00000000">
        <w:rPr>
          <w:rtl w:val="0"/>
        </w:rPr>
        <w:t xml:space="preserve">OCDE (2024), Perspectivas de Anticorrupción e Integridad 2024, https://www.oecd.org/publication/anti-corruption-and-integrity-outlook/2024.</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[23]</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OCDE (2024), Encuesta de la OCDE sobre Factores que Impulsan la Confianza en las Instituciones Públicas – Resultados 2024: Generando Confianza en un Entorno Político Complejo, Publicaciones de la OCDE, París, https://doi.org/10.1787/9a20554b-en.</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[5]</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OCDE (2024), Recomendación del Consejo sobre Integridad de la Información,</w:t>
      </w:r>
    </w:p>
    <w:p w:rsidR="00000000" w:rsidDel="00000000" w:rsidP="00000000" w:rsidRDefault="00000000" w:rsidRPr="00000000" w14:paraId="00000331">
      <w:pPr>
        <w:rPr/>
      </w:pPr>
      <w:r w:rsidDel="00000000" w:rsidR="00000000" w:rsidRPr="00000000">
        <w:rPr>
          <w:rtl w:val="0"/>
        </w:rPr>
        <w:t xml:space="preserve">https://legalinstruments.oecd.org/en/instruments/OECD-LEGAL-0505.</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[7]</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OCDE (2024), La Regulación del Cabildeo y la Influencia en Chile: Recomendaciones para Fortalecer la Transparencia y la Integridad en la Toma de Decisiones, OECD Public Governance Reviews, OECD Publishing, París, https://doi.org/10.1787/e84a846f-en.</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[20]</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OCDE (2023), Principios de Gobierno Corporativo G20/OCDE 2023, OECD Publishing, París,</w:t>
      </w:r>
    </w:p>
    <w:p w:rsidR="00000000" w:rsidDel="00000000" w:rsidP="00000000" w:rsidRDefault="00000000" w:rsidRPr="00000000" w14:paraId="0000033A">
      <w:pPr>
        <w:rPr/>
      </w:pPr>
      <w:r w:rsidDel="00000000" w:rsidR="00000000" w:rsidRPr="00000000">
        <w:rPr>
          <w:rtl w:val="0"/>
        </w:rPr>
        <w:t xml:space="preserve">https://doi.org/10.1787/ed750b30-en.</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[27]</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OCDE (2023), Líneas Directrices de la OCDE para Empresas Multinacionales sobre Conducta Empresarial Responsable, Publicaciones de la OCDE, París, https://doi.org/10.1787/81f92357-en.</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[26]</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OCDE (2022), La Regulación del Cabildeo en Quebec, Canadá: Fortalecimiento de una Cultura de Transparencia e Integridad, Estudios de la OCDE sobre Gobernanza Pública, Publicaciones de la OCDE, París, https://doi.org/10.1787/ec0cfef3-en.</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[22]</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OCDE (2021), Cabildeo en el Siglo XXI: Transparencia, Integridad y Acceso, Publicaciones de la OCDE, París, https://doi.org/10.1787/c6d8eff8-en.</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[3]</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OCDE (2020), Manual de Integridad Pública de la OCDE,</w:t>
      </w:r>
    </w:p>
    <w:p w:rsidR="00000000" w:rsidDel="00000000" w:rsidP="00000000" w:rsidRDefault="00000000" w:rsidRPr="00000000" w14:paraId="0000034B">
      <w:pPr>
        <w:rPr/>
      </w:pPr>
      <w:r w:rsidDel="00000000" w:rsidR="00000000" w:rsidRPr="00000000">
        <w:rPr>
          <w:rtl w:val="0"/>
        </w:rPr>
        <w:t xml:space="preserve">https://www.oecd.org/content/dam/oecd/en/publications/reports/2020/05/oecd-public-integrity-</w:t>
      </w:r>
    </w:p>
    <w:p w:rsidR="00000000" w:rsidDel="00000000" w:rsidP="00000000" w:rsidRDefault="00000000" w:rsidRPr="00000000" w14:paraId="0000034C">
      <w:pPr>
        <w:rPr/>
      </w:pPr>
      <w:r w:rsidDel="00000000" w:rsidR="00000000" w:rsidRPr="00000000">
        <w:rPr>
          <w:rtl w:val="0"/>
        </w:rPr>
        <w:t xml:space="preserve">handbook_598692a5/ac8ed8e8-en.pdf.</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[14]</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OCDE (2017), Recomendación del Consejo de la OCDE sobre Integridad Pública,</w:t>
      </w:r>
    </w:p>
    <w:p w:rsidR="00000000" w:rsidDel="00000000" w:rsidP="00000000" w:rsidRDefault="00000000" w:rsidRPr="00000000" w14:paraId="00000351">
      <w:pPr>
        <w:rPr/>
      </w:pPr>
      <w:r w:rsidDel="00000000" w:rsidR="00000000" w:rsidRPr="00000000">
        <w:rPr>
          <w:rtl w:val="0"/>
        </w:rPr>
        <w:t xml:space="preserve">https://www.oecd.org/gov/ethics/OECD-Recommendation-Public-Integrity.pdf.</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[1]</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OCDE (2017), Prevención de la Captura de Políticas: Integridad en la Toma de Decisiones Públicas, Estudios de Gobernanza Pública de la OCDE, Publicaciones de la OCDE, París, https://doi.org/10.1787/9789264065239-en.</w:t>
      </w:r>
    </w:p>
    <w:p w:rsidR="00000000" w:rsidDel="00000000" w:rsidP="00000000" w:rsidRDefault="00000000" w:rsidRPr="00000000" w14:paraId="00000356">
      <w:pPr>
        <w:rPr/>
      </w:pPr>
      <w:r w:rsidDel="00000000" w:rsidR="00000000" w:rsidRPr="00000000">
        <w:rPr>
          <w:rtl w:val="0"/>
        </w:rPr>
        <w:t xml:space="preserve">[21]</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OCDE (2011), Asesores Ministeriales: Rol, Influencia y Gestión, Publicaciones de la OCDE, París,</w:t>
      </w:r>
    </w:p>
    <w:p w:rsidR="00000000" w:rsidDel="00000000" w:rsidP="00000000" w:rsidRDefault="00000000" w:rsidRPr="00000000" w14:paraId="00000359">
      <w:pPr>
        <w:rPr/>
      </w:pPr>
      <w:r w:rsidDel="00000000" w:rsidR="00000000" w:rsidRPr="00000000">
        <w:rPr>
          <w:rtl w:val="0"/>
        </w:rPr>
        <w:t xml:space="preserve">https://doi.org/10.1787/9789264124936-en.</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[19]</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OCDE (2010), Recomendación del Consejo sobre Transparencia e Integridad en el Cabildeo y la Influencia, https://legalinstruments.oecd.org/en/instruments/OECD-LEGAL-0379.</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[2]</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OCDE (2003), Recomendación del Consejo sobre las Directrices de la OCDE para la Gestión de Conflictos de Interés [6]</w:t>
      </w:r>
    </w:p>
    <w:p w:rsidR="00000000" w:rsidDel="00000000" w:rsidP="00000000" w:rsidRDefault="00000000" w:rsidRPr="00000000" w14:paraId="00000362">
      <w:pPr>
        <w:ind w:left="0" w:firstLine="0"/>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Interés en el Servicio Público, https://legalinstruments.oecd.org/en/instruments/OECD-LEGAL-</w:t>
      </w:r>
    </w:p>
    <w:p w:rsidR="00000000" w:rsidDel="00000000" w:rsidP="00000000" w:rsidRDefault="00000000" w:rsidRPr="00000000" w14:paraId="00000364">
      <w:pPr>
        <w:rPr/>
      </w:pPr>
      <w:r w:rsidDel="00000000" w:rsidR="00000000" w:rsidRPr="00000000">
        <w:rPr>
          <w:rtl w:val="0"/>
        </w:rPr>
        <w:t xml:space="preserve">0316.</w:t>
      </w:r>
    </w:p>
    <w:p w:rsidR="00000000" w:rsidDel="00000000" w:rsidP="00000000" w:rsidRDefault="00000000" w:rsidRPr="00000000" w14:paraId="00000365">
      <w:pPr>
        <w:rPr/>
      </w:pPr>
      <w:r w:rsidDel="00000000" w:rsidR="00000000" w:rsidRPr="00000000">
        <w:rPr>
          <w:rtl w:val="0"/>
        </w:rPr>
        <w:t xml:space="preserve">OCDE (próximamente), Perspectivas de Anticorrupción e Integridad 2026. [15]</w:t>
      </w:r>
    </w:p>
    <w:p w:rsidR="00000000" w:rsidDel="00000000" w:rsidP="00000000" w:rsidRDefault="00000000" w:rsidRPr="00000000" w14:paraId="00000366">
      <w:pPr>
        <w:rPr/>
      </w:pPr>
      <w:r w:rsidDel="00000000" w:rsidR="00000000" w:rsidRPr="00000000">
        <w:rPr>
          <w:rtl w:val="0"/>
        </w:rPr>
        <w:t xml:space="preserve">OCDE (s.f.), Diálogo Confiable sobre la Influencia Correcta,</w:t>
      </w:r>
    </w:p>
    <w:p w:rsidR="00000000" w:rsidDel="00000000" w:rsidP="00000000" w:rsidRDefault="00000000" w:rsidRPr="00000000" w14:paraId="00000367">
      <w:pPr>
        <w:rPr/>
      </w:pPr>
      <w:r w:rsidDel="00000000" w:rsidR="00000000" w:rsidRPr="00000000">
        <w:rPr>
          <w:rtl w:val="0"/>
        </w:rPr>
        <w:t xml:space="preserve">https://www.oecd.org/en/about/projects/getting-influence-right.html.</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[28]</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OCDE/PRI (2022), Regulación de la participación política corporativa: Tendencias, desafíos y el papel de los inversores, Publicaciones de la OCDE, París, https://doi.org/10.1787/8c5615fe-en.</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[25]</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Oficina del Comisionado de Cabildeo de Canadá (2023), Código de Conducta de los Cabilderos. Estándares para un lobby transparente y ético, https://lobbycanada.gc.ca/en/rules/the-</w:t>
      </w:r>
    </w:p>
    <w:p w:rsidR="00000000" w:rsidDel="00000000" w:rsidP="00000000" w:rsidRDefault="00000000" w:rsidRPr="00000000" w14:paraId="00000370">
      <w:pPr>
        <w:rPr/>
      </w:pPr>
      <w:r w:rsidDel="00000000" w:rsidR="00000000" w:rsidRPr="00000000">
        <w:rPr>
          <w:rtl w:val="0"/>
        </w:rPr>
        <w:t xml:space="preserve">código-de-conducta-de-lobbyistas/código-de-conducta-de-lobbyistas-2023.</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[29]</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Presidencia de la República Dominicana (2024), Constitución de la República Dominicana 2024,</w:t>
      </w:r>
    </w:p>
    <w:p w:rsidR="00000000" w:rsidDel="00000000" w:rsidP="00000000" w:rsidRDefault="00000000" w:rsidRPr="00000000" w14:paraId="00000375">
      <w:pPr>
        <w:rPr/>
      </w:pPr>
      <w:r w:rsidDel="00000000" w:rsidR="00000000" w:rsidRPr="00000000">
        <w:rPr>
          <w:rtl w:val="0"/>
        </w:rPr>
        <w:t xml:space="preserve">Consultoría Jurídica del Poder Ejecutivo,</w:t>
      </w:r>
    </w:p>
    <w:p w:rsidR="00000000" w:rsidDel="00000000" w:rsidP="00000000" w:rsidRDefault="00000000" w:rsidRPr="00000000" w14:paraId="00000376">
      <w:pPr>
        <w:rPr/>
      </w:pPr>
      <w:r w:rsidDel="00000000" w:rsidR="00000000" w:rsidRPr="00000000">
        <w:rPr>
          <w:rtl w:val="0"/>
        </w:rPr>
        <w:t xml:space="preserve">https://www.consultoria.gov.do/Services/Constitutions.</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[10]</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Senado de la República Dominicana (2020), 00360-2020- Proyecto De Ley regula el Lobbusmo</w:t>
      </w:r>
    </w:p>
    <w:p w:rsidR="00000000" w:rsidDel="00000000" w:rsidP="00000000" w:rsidRDefault="00000000" w:rsidRPr="00000000" w14:paraId="0000037B">
      <w:pPr>
        <w:rPr/>
      </w:pPr>
      <w:r w:rsidDel="00000000" w:rsidR="00000000" w:rsidRPr="00000000">
        <w:rPr>
          <w:rtl w:val="0"/>
        </w:rPr>
        <w:t xml:space="preserve">La República Dominicana, https://memoriahistorica.senadord.gob.do/items/4f0626f6-d38a-</w:t>
      </w:r>
    </w:p>
    <w:p w:rsidR="00000000" w:rsidDel="00000000" w:rsidP="00000000" w:rsidRDefault="00000000" w:rsidRPr="00000000" w14:paraId="0000037C">
      <w:pPr>
        <w:rPr/>
      </w:pPr>
      <w:r w:rsidDel="00000000" w:rsidR="00000000" w:rsidRPr="00000000">
        <w:rPr>
          <w:rtl w:val="0"/>
        </w:rPr>
        <w:t xml:space="preserve">420d-a9b1-7b0294bb6f32.</w:t>
      </w:r>
    </w:p>
    <w:p w:rsidR="00000000" w:rsidDel="00000000" w:rsidP="00000000" w:rsidRDefault="00000000" w:rsidRPr="00000000" w14:paraId="0000037D">
      <w:pPr>
        <w:ind w:left="0" w:firstLine="0"/>
        <w:rPr/>
      </w:pPr>
      <w:r w:rsidDel="00000000" w:rsidR="00000000" w:rsidRPr="00000000">
        <w:rPr>
          <w:rtl w:val="0"/>
        </w:rPr>
      </w:r>
    </w:p>
    <w:sectPr>
      <w:headerReference r:id="rId18" w:type="default"/>
      <w:headerReference r:id="rId19" w:type="first"/>
      <w:footerReference r:id="rId2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0">
    <w:pPr>
      <w:rPr/>
    </w:pPr>
    <w:r w:rsidDel="00000000" w:rsidR="00000000" w:rsidRPr="00000000">
      <w:rPr>
        <w:rtl w:val="0"/>
      </w:rPr>
      <w:t xml:space="preserve">Este documento, así como cualquier dato y mapa incluido en él, se entienden sin perjuicio del estatus o la soberanía de cualquier territorio, de la delimitación de fronteras y límites internacionales ni del nombre de cualquier territorio, ciudad o zona.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F">
    <w:pPr>
      <w:rPr/>
    </w:pPr>
    <w:r w:rsidDel="00000000" w:rsidR="00000000" w:rsidRPr="00000000">
      <w:rPr/>
      <w:drawing>
        <wp:inline distB="114300" distT="114300" distL="114300" distR="114300">
          <wp:extent cx="2443163" cy="622172"/>
          <wp:effectExtent b="0" l="0" r="0" t="0"/>
          <wp:docPr id="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443163" cy="6221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oecd-public-integrity-indicators.org/" TargetMode="External"/><Relationship Id="rId10" Type="http://schemas.openxmlformats.org/officeDocument/2006/relationships/hyperlink" Target="https://oecd-public-integrity-indicators.org/" TargetMode="External"/><Relationship Id="rId13" Type="http://schemas.openxmlformats.org/officeDocument/2006/relationships/image" Target="media/image1.png"/><Relationship Id="rId12" Type="http://schemas.openxmlformats.org/officeDocument/2006/relationships/hyperlink" Target="https://oecd-public-integrity-indicator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6.png"/><Relationship Id="rId14" Type="http://schemas.openxmlformats.org/officeDocument/2006/relationships/image" Target="media/image4.png"/><Relationship Id="rId17" Type="http://schemas.openxmlformats.org/officeDocument/2006/relationships/hyperlink" Target="https://www.lobbying.ie/media/5986/2015-08-06-transparency-code-eng.pdf" TargetMode="External"/><Relationship Id="rId16" Type="http://schemas.openxmlformats.org/officeDocument/2006/relationships/hyperlink" Target="https://audiencias.mininterior.gob.ar/"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mailto:pauline.bertrand@oecd.org" TargetMode="External"/><Relationship Id="rId18" Type="http://schemas.openxmlformats.org/officeDocument/2006/relationships/header" Target="header1.xml"/><Relationship Id="rId7" Type="http://schemas.openxmlformats.org/officeDocument/2006/relationships/image" Target="media/image3.png"/><Relationship Id="rId8" Type="http://schemas.openxmlformats.org/officeDocument/2006/relationships/hyperlink" Target="https://www.latinobarometro.org/latOnline.j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